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Finite-difference stencils on the D2Q9 lattice</w:t>
      </w:r>
    </w:p>
    <w:p>
      <w:r>
        <w:t>Modified from Inamuro et al. (2003), Eqs. (12) and (13), as implemented in the 2D Inamuro script free_surface_SchanChen_nondim_D2Q9_08.py (functions c_first_derivative and c_second_derivative). The D3Q15 sums over the 14 moving directions (i = 2, ..., 15) are replaced by sums over the 8 moving directions of the D2Q9 lattice (i = 2, ..., 9), and the original prefactors are multiplied by 8/14.</w:t>
      </w:r>
    </w:p>
    <w:p>
      <w:pPr>
        <w:tabs>
          <w:tab w:pos="4535" w:val="center"/>
          <w:tab w:pos="9071" w:val="right"/>
        </w:tabs>
        <w:spacing w:before="200" w:after="200"/>
      </w:pPr>
      <w:r>
        <w:tab/>
      </w:r>
      <m:oMath>
        <m:f>
          <m:num>
            <m:r>
              <m:t xml:space="preserve">∂</m:t>
            </m:r>
            <m:r>
              <m:t xml:space="preserve">λ</m:t>
            </m:r>
          </m:num>
          <m:den>
            <m:r>
              <m:t xml:space="preserve">∂</m:t>
            </m:r>
            <m:sSub>
              <m:e>
                <m:r>
                  <m:t xml:space="preserve">x</m:t>
                </m:r>
              </m:e>
              <m:sub>
                <m:r>
                  <m:t xml:space="preserve">α</m:t>
                </m:r>
              </m:sub>
            </m:sSub>
          </m:den>
        </m:f>
        <m:r>
          <m:t xml:space="preserve">≈</m:t>
        </m:r>
        <m:f>
          <m:num>
            <m:r>
              <m:rPr>
                <m:sty m:val="p"/>
              </m:rPr>
              <m:t xml:space="preserve">8</m:t>
            </m:r>
          </m:num>
          <m:den>
            <m:r>
              <m:rPr>
                <m:sty m:val="p"/>
              </m:rPr>
              <m:t xml:space="preserve">14</m:t>
            </m:r>
          </m:den>
        </m:f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10</m:t>
            </m:r>
            <m:r>
              <m:t xml:space="preserve">Δ</m:t>
            </m:r>
            <m:r>
              <m:t xml:space="preserve">x</m:t>
            </m:r>
          </m:den>
        </m:f>
        <m:nary>
          <m:naryPr>
            <m:chr m:val="∑"/>
            <m:limLoc m:val="undOvr"/>
          </m:naryPr>
          <m:sub>
            <m:r>
              <m:rPr>
                <m:sty m:val="p"/>
              </m:rPr>
              <m:t xml:space="preserve">i=2</m:t>
            </m:r>
          </m:sub>
          <m:sup>
            <m:r>
              <m:rPr>
                <m:sty m:val="p"/>
              </m:rPr>
              <m:t xml:space="preserve">9</m:t>
            </m:r>
          </m:sup>
          <m:e>
            <m:sSub>
              <m:e>
                <m:r>
                  <m:t xml:space="preserve">c</m:t>
                </m:r>
              </m:e>
              <m:sub>
                <m:r>
                  <m:t xml:space="preserve">iα</m:t>
                </m:r>
              </m:sub>
            </m:sSub>
            <m:r>
              <m:t xml:space="preserve">λ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t xml:space="preserve">+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Δ</m:t>
                </m:r>
                <m:r>
                  <m:t xml:space="preserve">x</m:t>
                </m:r>
              </m:e>
            </m:d>
          </m:e>
        </m:nary>
      </m:oMath>
      <w:r>
        <w:tab/>
        <w:t>(12)</w:t>
      </w:r>
    </w:p>
    <w:p>
      <w:pPr>
        <w:tabs>
          <w:tab w:pos="4535" w:val="center"/>
          <w:tab w:pos="9071" w:val="right"/>
        </w:tabs>
        <w:spacing w:before="200" w:after="200"/>
      </w:pPr>
      <w:r>
        <w:tab/>
      </w:r>
      <m:oMath>
        <m:f>
          <m:num>
            <m:sSup>
              <m:e>
                <m:r>
                  <m:t xml:space="preserve">∂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λ</m:t>
            </m:r>
          </m:num>
          <m:den>
            <m:r>
              <m:t xml:space="preserve">∂</m:t>
            </m:r>
            <m:sSubSup>
              <m:e>
                <m:r>
                  <m:t xml:space="preserve">x</m:t>
                </m:r>
              </m:e>
              <m:sub>
                <m:r>
                  <m:t xml:space="preserve">α</m:t>
                </m:r>
              </m:sub>
              <m:sup>
                <m:r>
                  <m:rPr>
                    <m:sty m:val="p"/>
                  </m:rPr>
                  <m:t xml:space="preserve">2</m:t>
                </m:r>
              </m:sup>
            </m:sSubSup>
          </m:den>
        </m:f>
        <m:r>
          <m:t xml:space="preserve">≈</m:t>
        </m:r>
        <m:f>
          <m:num>
            <m:r>
              <m:rPr>
                <m:sty m:val="p"/>
              </m:rPr>
              <m:t xml:space="preserve">8</m:t>
            </m:r>
          </m:num>
          <m:den>
            <m:r>
              <m:rPr>
                <m:sty m:val="p"/>
              </m:rPr>
              <m:t xml:space="preserve">14</m:t>
            </m:r>
          </m:den>
        </m:f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5</m:t>
            </m:r>
            <m:sSup>
              <m:e>
                <m:r>
                  <m:t xml:space="preserve">Δ</m:t>
                </m:r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d>
          <m:dPr>
            <m:begChr m:val="["/>
            <m:endChr m:val="]"/>
          </m:dPr>
          <m:e>
            <m:nary>
              <m:naryPr>
                <m:chr m:val="∑"/>
                <m:limLoc m:val="undOvr"/>
              </m:naryPr>
              <m:sub>
                <m:r>
                  <m:rPr>
                    <m:sty m:val="p"/>
                  </m:rPr>
                  <m:t xml:space="preserve">i=2</m:t>
                </m:r>
              </m:sub>
              <m:sup>
                <m:r>
                  <m:rPr>
                    <m:sty m:val="p"/>
                  </m:rPr>
                  <m:t xml:space="preserve">9</m:t>
                </m:r>
              </m:sup>
              <m:e>
                <m:r>
                  <m:t xml:space="preserve">λ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t xml:space="preserve">+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  <m:r>
                      <m:t xml:space="preserve">Δ</m:t>
                    </m:r>
                    <m:r>
                      <m:t xml:space="preserve">x</m:t>
                    </m:r>
                  </m:e>
                </m:d>
              </m:e>
            </m:nary>
            <m:r>
              <m:t xml:space="preserve">−</m:t>
            </m:r>
            <m:r>
              <m:rPr>
                <m:sty m:val="p"/>
              </m:rPr>
              <m:t xml:space="preserve">8</m:t>
            </m:r>
            <m:r>
              <m:t xml:space="preserve">λ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e>
        </m:d>
      </m:oMath>
      <w:r>
        <w:tab/>
        <w:t>(13)</w:t>
      </w:r>
    </w:p>
    <w:p>
      <w:r>
        <w:t>Here λ stands for the order parameter φ, the velocity components u_β or the density ρ, x_α is the Cartesian coordinate (α = x, y), Δx is the lattice spacing, and c_i are the D2Q9 lattice velocities:</w:t>
      </w:r>
    </w:p>
    <w:p>
      <w:r>
        <w:t>c1 = (0, 0)  (rest node, not used in the sums); c2 = (1, 0); c3 = (0, 1); c4 = (−1, 0); c5 = (0, −1); c6 = (1, 1); c7 = (−1, 1); c8 = (−1, −1); c9 = (1, −1).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