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2" w:sz="4" w:val="single"/>
        </w:pBdr>
        <w:rPr/>
      </w:pPr>
      <w:r w:rsidDel="00000000" w:rsidR="00000000" w:rsidRPr="00000000">
        <w:rPr>
          <w:rtl w:val="0"/>
        </w:rPr>
        <w:t xml:space="preserve">DATA MANAGEMENT AND SHARING PLAN</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6" w:sz="4" w:val="single"/>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urrqnfsyza9e" w:id="0"/>
      <w:bookmarkEnd w:id="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any of the proposed research in the application involves the generation of scientific data, this application is subject to the NIH Policy for Data Management and Sharing and requires submission of a Data Management and Sharing Plan.  If the proposed research in the application will generate large-scale genomic data, the Genomic Data Sharing Policy also applies and should be addressed in this Plan.  Refer to the detailed instructions in the application guide for developing this plan as well as to additional guidance on </w:t>
      </w:r>
      <w:hyperlink r:id="rId6">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sharing.nih.gov</w:t>
        </w:r>
      </w:hyperlink>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The Plan is recommended not to exceed two pages.  Text in italics should be deleted. There is no “form page” for the Data Management and Sharing Plan. The DMS Plan may be provided in the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format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shown below. </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6" w:sz="4" w:val="single"/>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Public reporting burden for this collection of information is estimated to average 2 hours per response, including the time for reviewing instructions, searching existing data sources, gathering, and maintaining the data needed, and completing and reviewing the collection of information. An agency may not conduct or sponsor, and a person is not required to respond to, a collection of information unless it displays a currently valid OMB control number. Send comments regarding this burden estimate or any other aspect of this collection of information, including suggestions for reducing this burden, to: NIH, Project Clearance Branch, 6705 Rockledge Drive, MSC 7974, Bethesda, MD 20892-7974, ATTN: PRA (0925-0001 and 0925-0002). Do not return the completed form to this address.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1: Data Type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Types and amount of scientific data expected to be generated in the project: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t xml:space="preserve">{e1_res1}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data that will be preserved and shared, and the rationale for doing so: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{e1_res2}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Metadata, other relevant data, and associated documentation: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t xml:space="preserve">{e1_res3}</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2: Related Tools, Software and/or Code: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{e2_res}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3: Standards:</w:t>
      </w:r>
    </w:p>
    <w:p w:rsidR="00000000" w:rsidDel="00000000" w:rsidP="00000000" w:rsidRDefault="00000000" w:rsidRPr="00000000" w14:paraId="0000000F">
      <w:pPr>
        <w:ind w:left="720" w:firstLine="0"/>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t xml:space="preserve">{e3_res}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4: Data Preservation, Access, and Associated Timelines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 where scientific data and metadata will be archived: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9rbm7yt3gmm9" w:id="1"/>
      <w:bookmarkEnd w:id="1"/>
      <w:r w:rsidDel="00000000" w:rsidR="00000000" w:rsidRPr="00000000">
        <w:rPr>
          <w:rtl w:val="0"/>
        </w:rPr>
        <w:t xml:space="preserve">{e4_res1}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scientific data will be findable and identifiable: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{e4_res2}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and how long the scientific data will be made available: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{e4_res3}</w:t>
      </w:r>
      <w:r w:rsidDel="00000000" w:rsidR="00000000" w:rsidRPr="00000000">
        <w:rP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5: Access, Distribution, or Reuse Considerations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bookmarkStart w:colFirst="0" w:colLast="0" w:name="_rn6fvfoog0lm"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Factors affecting subsequent access, distribution, or reuse of scientific data:</w:t>
        <w:br w:type="textWrapping"/>
      </w:r>
      <w:r w:rsidDel="00000000" w:rsidR="00000000" w:rsidRPr="00000000">
        <w:rPr>
          <w:rtl w:val="0"/>
        </w:rPr>
        <w:t xml:space="preserve">{e5_res1}</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bookmarkStart w:colFirst="0" w:colLast="0" w:name="_udgixn7elijh"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Whether access to scientific data will be controlled:</w:t>
        <w:br w:type="textWrapping"/>
      </w:r>
      <w:r w:rsidDel="00000000" w:rsidR="00000000" w:rsidRPr="00000000">
        <w:rPr>
          <w:rtl w:val="0"/>
        </w:rPr>
        <w:t xml:space="preserve">{e5_res2}</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Protections for privacy, rights, and confidentiality of human research participants: </w:t>
      </w:r>
    </w:p>
    <w:p w:rsidR="00000000" w:rsidDel="00000000" w:rsidP="00000000" w:rsidRDefault="00000000" w:rsidRPr="00000000" w14:paraId="0000001E">
      <w:pPr>
        <w:ind w:left="720" w:firstLine="0"/>
        <w:rPr>
          <w:i w:val="1"/>
          <w:iCs w:val="1"/>
          <w:smallCaps w:val="0"/>
          <w:strike w:val="0"/>
          <w:color w:val="000000"/>
          <w:sz w:val="22"/>
          <w:szCs w:val="22"/>
          <w:u w:val="none"/>
          <w:shd w:fill="auto" w:val="clear"/>
          <w:vertAlign w:val="baseline"/>
        </w:rPr>
      </w:pPr>
      <w:r w:rsidDel="00000000" w:rsidR="00000000" w:rsidRPr="00000000">
        <w:rPr>
          <w:rtl w:val="0"/>
        </w:rPr>
        <w:t xml:space="preserve">{e5_res3}</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6: Oversight of Data Management and Sharing: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t xml:space="preserve">{e6_res}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0"/>
          <w:bCs w:val="0"/>
        </w:rPr>
      </w:pPr>
      <w:r w:rsidDel="00000000" w:rsidR="00000000" w:rsidRPr="00000000">
        <w:rPr>
          <w:rtl w:val="0"/>
        </w:rPr>
      </w:r>
    </w:p>
    <w:p w:rsidR="00000000" w:rsidDel="00000000" w:rsidP="00000000" w:rsidRDefault="00000000" w:rsidRPr="00000000" w14:paraId="00000030">
      <w:pPr>
        <w:rPr>
          <w:b w:val="0"/>
          <w:bCs w:val="0"/>
        </w:rPr>
      </w:pPr>
      <w:r w:rsidDel="00000000" w:rsidR="00000000" w:rsidRPr="00000000">
        <w:rPr>
          <w:rtl w:val="0"/>
        </w:rPr>
      </w:r>
    </w:p>
    <w:p w:rsidR="00000000" w:rsidDel="00000000" w:rsidP="00000000" w:rsidRDefault="00000000" w:rsidRPr="00000000" w14:paraId="00000031">
      <w:pPr>
        <w:rPr>
          <w:b w:val="0"/>
          <w:bCs w:val="0"/>
        </w:rPr>
      </w:pPr>
      <w:r w:rsidDel="00000000" w:rsidR="00000000" w:rsidRPr="00000000">
        <w:rPr>
          <w:rtl w:val="0"/>
        </w:rPr>
      </w:r>
    </w:p>
    <w:p w:rsidR="00000000" w:rsidDel="00000000" w:rsidP="00000000" w:rsidRDefault="00000000" w:rsidRPr="00000000" w14:paraId="00000032">
      <w:pPr>
        <w:rPr>
          <w:b w:val="0"/>
          <w:bCs w:val="0"/>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r>
    </w:p>
    <w:sectPr>
      <w:headerReference r:id="rId7" w:type="default"/>
      <w:pgSz w:h="15840" w:w="12240" w:orient="portrait"/>
      <w:pgMar w:bottom="720" w:top="720" w:left="720" w:right="72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OMB No. 0925-0001 and 0925-0002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(Rev. 07/2022 Approved Through 01/31/2026)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12" w:sz="4" w:val="single"/>
      </w:pBdr>
      <w:jc w:val="center"/>
    </w:pPr>
    <w:rPr>
      <w:b w:val="1"/>
      <w:bCs w:val="1"/>
    </w:rPr>
  </w:style>
  <w:style w:type="paragraph" w:styleId="Heading2">
    <w:name w:val="heading 2"/>
    <w:basedOn w:val="Normal"/>
    <w:next w:val="Normal"/>
    <w:pPr>
      <w:keepNext w:val="1"/>
      <w:spacing w:after="120" w:before="360" w:lineRule="auto"/>
    </w:pPr>
    <w:rPr>
      <w:b w:val="1"/>
      <w:bCs w:val="1"/>
    </w:rPr>
  </w:style>
  <w:style w:type="paragraph" w:styleId="Heading3">
    <w:name w:val="heading 3"/>
    <w:basedOn w:val="Normal"/>
    <w:next w:val="Normal"/>
    <w:pPr>
      <w:keepNext w:val="1"/>
      <w:spacing w:after="0" w:before="240" w:lineRule="auto"/>
    </w:pPr>
    <w:rPr>
      <w:b w:val="1"/>
      <w:bCs w:val="1"/>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top w:color="000000" w:space="1" w:sz="4" w:val="single"/>
      </w:pBdr>
      <w:spacing w:before="240" w:lineRule="auto"/>
      <w:jc w:val="center"/>
    </w:pPr>
    <w:rPr>
      <w:b w:val="1"/>
      <w:bCs w:val="1"/>
    </w:rPr>
  </w:style>
  <w:style w:type="paragraph" w:styleId="Subtitle">
    <w:name w:val="Subtitle"/>
    <w:basedOn w:val="Normal"/>
    <w:next w:val="Normal"/>
    <w:pPr>
      <w:keepNext w:val="1"/>
      <w:spacing w:after="120" w:before="360" w:lineRule="auto"/>
    </w:pPr>
    <w:rPr>
      <w:b w:val="1"/>
      <w:b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ring.nih.gov/"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0x01010062D44AE15EE50D4EB439D7850828061C</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