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rPr>
        <w:t>dmpbridge — Pipeline Strategy Guide</w:t>
      </w:r>
    </w:p>
    <w:p>
      <w:pPr>
        <w:jc w:val="center"/>
      </w:pPr>
      <w:r>
        <w:rPr>
          <w:i/>
          <w:color w:val="64748B"/>
        </w:rPr>
        <w:t>Extracting and labeling structure from DMP PDF documents</w:t>
      </w:r>
    </w:p>
    <w:p/>
    <w:p>
      <w:pPr>
        <w:pStyle w:val="Heading1"/>
      </w:pPr>
      <w:r>
        <w:rPr>
          <w:color w:val="1E40AF"/>
        </w:rPr>
        <w:t>1. Overview</w:t>
      </w:r>
    </w:p>
    <w:p>
      <w:pPr>
        <w:spacing w:after="120"/>
      </w:pPr>
      <w:r>
        <w:t>dmpbridge is a pipeline that takes a Data Management Plan (DMP) PDF and produces two output files: a flat labeled JSON (one entry per text block, with coordinates and font metadata) used by the viewer, and a hierarchical structured JSON that follows the same schema as the manual annotations in data/manuallabeled/. The pipeline has four main stages:</w:t>
      </w:r>
    </w:p>
    <w:p>
      <w:pPr>
        <w:pStyle w:val="ListBullet"/>
        <w:spacing w:after="60"/>
      </w:pPr>
      <w:r>
        <w:rPr>
          <w:b/>
        </w:rPr>
        <w:t xml:space="preserve"> — </w:t>
      </w:r>
      <w:r>
        <w:t>PDF Extraction</w:t>
      </w:r>
      <w:r>
        <w:t>pdfplumber reads the PDF line by line and captures coordinates, font name, font size, bold, and italic flags for every text block.</w:t>
      </w:r>
    </w:p>
    <w:p>
      <w:pPr>
        <w:pStyle w:val="ListBullet"/>
        <w:spacing w:after="60"/>
      </w:pPr>
      <w:r>
        <w:rPr>
          <w:b/>
        </w:rPr>
        <w:t xml:space="preserve"> — </w:t>
      </w:r>
      <w:r>
        <w:t>LLM Classification</w:t>
      </w:r>
      <w:r>
        <w:t>A local Ollama language model receives batches of blocks and assigns one of five DMP-specific labels to each.</w:t>
      </w:r>
    </w:p>
    <w:p>
      <w:pPr>
        <w:pStyle w:val="ListBullet"/>
        <w:spacing w:after="60"/>
      </w:pPr>
      <w:r>
        <w:rPr>
          <w:b/>
        </w:rPr>
        <w:t xml:space="preserve"> — </w:t>
      </w:r>
      <w:r>
        <w:t xml:space="preserve"> - Output &amp; Viewer: The flat labeled JSON (with block coordinates) is saved to disk and powers the viewer. A converter module assembles the flat blocks into a hierarchical JSON matching the manual annotation schema. A standalone HTML viewer renders the PDF alongside the label table with bounding-box overlays.</w:t>
      </w:r>
      <w:r>
        <w:t>The labeled JSON is saved to disk. A standalone HTML viewer renders the PDF alongside the label table with bounding-box overlays.</w:t>
      </w:r>
    </w:p>
    <w:p>
      <w:pPr>
        <w:pStyle w:val="Heading1"/>
      </w:pPr>
      <w:r>
        <w:rPr>
          <w:color w:val="1E40AF"/>
        </w:rPr>
        <w:t>2. Label Taxonomy</w:t>
      </w:r>
    </w:p>
    <w:p>
      <w:pPr>
        <w:spacing w:after="120"/>
      </w:pPr>
      <w:r>
        <w:t>After reviewing DMP structure guidelines and manually labeled examples, five labels were defined to capture every structural role a text block can play in a DMP document: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b/>
                <w:color w:val="FFFFFF"/>
              </w:rPr>
              <w:t>Label</w:t>
            </w:r>
          </w:p>
        </w:tc>
        <w:tc>
          <w:tcPr>
            <w:tcW w:type="dxa" w:w="2880"/>
            <w:shd w:val="clear" w:color="auto" w:fill="1E40AF"/>
          </w:tcPr>
          <w:p>
            <w:r>
              <w:rPr>
                <w:b/>
                <w:color w:val="FFFFFF"/>
              </w:rPr>
              <w:t>Description</w:t>
            </w:r>
          </w:p>
        </w:tc>
        <w:tc>
          <w:tcPr>
            <w:tcW w:type="dxa" w:w="2880"/>
            <w:shd w:val="clear" w:color="auto" w:fill="1E40AF"/>
          </w:tcPr>
          <w:p>
            <w:r>
              <w:rPr>
                <w:b/>
                <w:color w:val="FFFFFF"/>
              </w:rPr>
              <w:t>Key Signal</w:t>
            </w:r>
          </w:p>
        </w:tc>
      </w:tr>
      <w:tr>
        <w:tc>
          <w:tcPr>
            <w:tcW w:type="dxa" w:w="2880"/>
          </w:tcPr>
          <w:p>
            <w:r>
              <w:t>title</w:t>
            </w:r>
          </w:p>
        </w:tc>
        <w:tc>
          <w:tcPr>
            <w:tcW w:type="dxa" w:w="2880"/>
          </w:tcPr>
          <w:p>
            <w:r>
              <w:t>The single main document title. Appears once.</w:t>
            </w:r>
          </w:p>
        </w:tc>
        <w:tc>
          <w:tcPr>
            <w:tcW w:type="dxa" w:w="2880"/>
          </w:tcPr>
          <w:p>
            <w:r>
              <w:t>Very short, no section number, largest font</w:t>
            </w:r>
          </w:p>
        </w:tc>
      </w:tr>
      <w:tr>
        <w:tc>
          <w:tcPr>
            <w:tcW w:type="dxa" w:w="2880"/>
          </w:tcPr>
          <w:p>
            <w:r>
              <w:t>section.title</w:t>
            </w:r>
          </w:p>
        </w:tc>
        <w:tc>
          <w:tcPr>
            <w:tcW w:type="dxa" w:w="2880"/>
          </w:tcPr>
          <w:p>
            <w:r>
              <w:t>A numbered or named section heading.</w:t>
            </w:r>
          </w:p>
        </w:tc>
        <w:tc>
          <w:tcPr>
            <w:tcW w:type="dxa" w:w="2880"/>
          </w:tcPr>
          <w:p>
            <w:r>
              <w:t>Short, bold, starts with a number or element name</w:t>
            </w:r>
          </w:p>
        </w:tc>
      </w:tr>
      <w:tr>
        <w:tc>
          <w:tcPr>
            <w:tcW w:type="dxa" w:w="2880"/>
          </w:tcPr>
          <w:p>
            <w:r>
              <w:t>section.description</w:t>
            </w:r>
          </w:p>
        </w:tc>
        <w:tc>
          <w:tcPr>
            <w:tcW w:type="dxa" w:w="2880"/>
          </w:tcPr>
          <w:p>
            <w:r>
              <w:t>Funder template text describing what must be written in the section.</w:t>
            </w:r>
          </w:p>
        </w:tc>
        <w:tc>
          <w:tcPr>
            <w:tcW w:type="dxa" w:w="2880"/>
          </w:tcPr>
          <w:p>
            <w:r>
              <w:t>Uses 'should', 'must', 'DMPs should'; instructional tone</w:t>
            </w:r>
          </w:p>
        </w:tc>
      </w:tr>
      <w:tr>
        <w:tc>
          <w:tcPr>
            <w:tcW w:type="dxa" w:w="2880"/>
          </w:tcPr>
          <w:p>
            <w:r>
              <w:t>question.text</w:t>
            </w:r>
          </w:p>
        </w:tc>
        <w:tc>
          <w:tcPr>
            <w:tcW w:type="dxa" w:w="2880"/>
          </w:tcPr>
          <w:p>
            <w:r>
              <w:t>A sub-question or sub-topic prompt inside a section.</w:t>
            </w:r>
          </w:p>
        </w:tc>
        <w:tc>
          <w:tcPr>
            <w:tcW w:type="dxa" w:w="2880"/>
          </w:tcPr>
          <w:p>
            <w:r>
              <w:t>Often starts with A. / B. or a bold phrase; shorter than a paragraph</w:t>
            </w:r>
          </w:p>
        </w:tc>
      </w:tr>
      <w:tr>
        <w:tc>
          <w:tcPr>
            <w:tcW w:type="dxa" w:w="2880"/>
          </w:tcPr>
          <w:p>
            <w:r>
              <w:t>answer.text</w:t>
            </w:r>
          </w:p>
        </w:tc>
        <w:tc>
          <w:tcPr>
            <w:tcW w:type="dxa" w:w="2880"/>
          </w:tcPr>
          <w:p>
            <w:r>
              <w:t>The researcher's actual written response.</w:t>
            </w:r>
          </w:p>
        </w:tc>
        <w:tc>
          <w:tcPr>
            <w:tcW w:type="dxa" w:w="2880"/>
          </w:tcPr>
          <w:p>
            <w:r>
              <w:t>Narrative paragraphs; describes what the team will do</w:t>
            </w:r>
          </w:p>
        </w:tc>
      </w:tr>
    </w:tbl>
    <w:p/>
    <w:p>
      <w:pPr>
        <w:spacing w:after="120"/>
      </w:pPr>
      <w:r>
        <w:t>The hardest distinction is section.description vs answer.text: both are paragraph-length, but section.description is written by the funder (instructional) while answer.text is written by the researcher (descriptive). The LLM prompt explicitly highlights this distinction with examples.</w:t>
      </w:r>
    </w:p>
    <w:p>
      <w:pPr>
        <w:pStyle w:val="Heading1"/>
      </w:pPr>
      <w:r>
        <w:rPr>
          <w:color w:val="1E40AF"/>
        </w:rPr>
        <w:t>3. PDF Extraction Strategy</w:t>
      </w:r>
    </w:p>
    <w:p>
      <w:pPr>
        <w:spacing w:after="120"/>
      </w:pPr>
      <w:r>
        <w:t>pdfplumber is used to extract line-level text blocks. For each line the following fields are captured: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b/>
                <w:color w:val="FFFFFF"/>
              </w:rPr>
              <w:t>Field</w:t>
            </w:r>
          </w:p>
        </w:tc>
        <w:tc>
          <w:tcPr>
            <w:tcW w:type="dxa" w:w="2880"/>
            <w:shd w:val="clear" w:color="auto" w:fill="1E40AF"/>
          </w:tcPr>
          <w:p>
            <w:r>
              <w:rPr>
                <w:b/>
                <w:color w:val="FFFFFF"/>
              </w:rPr>
              <w:t>Source</w:t>
            </w:r>
          </w:p>
        </w:tc>
        <w:tc>
          <w:tcPr>
            <w:tcW w:type="dxa" w:w="2880"/>
            <w:shd w:val="clear" w:color="auto" w:fill="1E40AF"/>
          </w:tcPr>
          <w:p>
            <w:r>
              <w:rPr>
                <w:b/>
                <w:color w:val="FFFFFF"/>
              </w:rPr>
              <w:t>Used for</w:t>
            </w:r>
          </w:p>
        </w:tc>
      </w:tr>
      <w:tr>
        <w:tc>
          <w:tcPr>
            <w:tcW w:type="dxa" w:w="2880"/>
          </w:tcPr>
          <w:p>
            <w:r>
              <w:t>text</w:t>
            </w:r>
          </w:p>
        </w:tc>
        <w:tc>
          <w:tcPr>
            <w:tcW w:type="dxa" w:w="2880"/>
          </w:tcPr>
          <w:p>
            <w:r>
              <w:t>Raw line text (deduplicated)</w:t>
            </w:r>
          </w:p>
        </w:tc>
        <w:tc>
          <w:tcPr>
            <w:tcW w:type="dxa" w:w="2880"/>
          </w:tcPr>
          <w:p>
            <w:r>
              <w:t>LLM input, evaluation matching</w:t>
            </w:r>
          </w:p>
        </w:tc>
      </w:tr>
      <w:tr>
        <w:tc>
          <w:tcPr>
            <w:tcW w:type="dxa" w:w="2880"/>
          </w:tcPr>
          <w:p>
            <w:r>
              <w:t>page</w:t>
            </w:r>
          </w:p>
        </w:tc>
        <w:tc>
          <w:tcPr>
            <w:tcW w:type="dxa" w:w="2880"/>
          </w:tcPr>
          <w:p>
            <w:r>
              <w:t>Page number</w:t>
            </w:r>
          </w:p>
        </w:tc>
        <w:tc>
          <w:tcPr>
            <w:tcW w:type="dxa" w:w="2880"/>
          </w:tcPr>
          <w:p>
            <w:r>
              <w:t>Viewer overlay, error reporting</w:t>
            </w:r>
          </w:p>
        </w:tc>
      </w:tr>
      <w:tr>
        <w:tc>
          <w:tcPr>
            <w:tcW w:type="dxa" w:w="2880"/>
          </w:tcPr>
          <w:p>
            <w:r>
              <w:t>line_order</w:t>
            </w:r>
          </w:p>
        </w:tc>
        <w:tc>
          <w:tcPr>
            <w:tcW w:type="dxa" w:w="2880"/>
          </w:tcPr>
          <w:p>
            <w:r>
              <w:t>Line index within the page</w:t>
            </w:r>
          </w:p>
        </w:tc>
        <w:tc>
          <w:tcPr>
            <w:tcW w:type="dxa" w:w="2880"/>
          </w:tcPr>
          <w:p>
            <w:r>
              <w:t>Block ordering</w:t>
            </w:r>
          </w:p>
        </w:tc>
      </w:tr>
      <w:tr>
        <w:tc>
          <w:tcPr>
            <w:tcW w:type="dxa" w:w="2880"/>
          </w:tcPr>
          <w:p>
            <w:r>
              <w:t>x0, top, x1, bottom</w:t>
            </w:r>
          </w:p>
        </w:tc>
        <w:tc>
          <w:tcPr>
            <w:tcW w:type="dxa" w:w="2880"/>
          </w:tcPr>
          <w:p>
            <w:r>
              <w:t>Bounding box coordinates</w:t>
            </w:r>
          </w:p>
        </w:tc>
        <w:tc>
          <w:tcPr>
            <w:tcW w:type="dxa" w:w="2880"/>
          </w:tcPr>
          <w:p>
            <w:r>
              <w:t>PDF viewer overlay</w:t>
            </w:r>
          </w:p>
        </w:tc>
      </w:tr>
      <w:tr>
        <w:tc>
          <w:tcPr>
            <w:tcW w:type="dxa" w:w="2880"/>
          </w:tcPr>
          <w:p>
            <w:r>
              <w:t>avg_font_size</w:t>
            </w:r>
          </w:p>
        </w:tc>
        <w:tc>
          <w:tcPr>
            <w:tcW w:type="dxa" w:w="2880"/>
          </w:tcPr>
          <w:p>
            <w:r>
              <w:t>Mean char size across the line</w:t>
            </w:r>
          </w:p>
        </w:tc>
        <w:tc>
          <w:tcPr>
            <w:tcW w:type="dxa" w:w="2880"/>
          </w:tcPr>
          <w:p>
            <w:r>
              <w:t>Bold/heading detection</w:t>
            </w:r>
          </w:p>
        </w:tc>
      </w:tr>
      <w:tr>
        <w:tc>
          <w:tcPr>
            <w:tcW w:type="dxa" w:w="2880"/>
          </w:tcPr>
          <w:p>
            <w:r>
              <w:t>font_names</w:t>
            </w:r>
          </w:p>
        </w:tc>
        <w:tc>
          <w:tcPr>
            <w:tcW w:type="dxa" w:w="2880"/>
          </w:tcPr>
          <w:p>
            <w:r>
              <w:t>Unique font names in the line</w:t>
            </w:r>
          </w:p>
        </w:tc>
        <w:tc>
          <w:tcPr>
            <w:tcW w:type="dxa" w:w="2880"/>
          </w:tcPr>
          <w:p>
            <w:r>
              <w:t>Bold and italic detection</w:t>
            </w:r>
          </w:p>
        </w:tc>
      </w:tr>
      <w:tr>
        <w:tc>
          <w:tcPr>
            <w:tcW w:type="dxa" w:w="2880"/>
          </w:tcPr>
          <w:p>
            <w:r>
              <w:t>is_bold</w:t>
            </w:r>
          </w:p>
        </w:tc>
        <w:tc>
          <w:tcPr>
            <w:tcW w:type="dxa" w:w="2880"/>
          </w:tcPr>
          <w:p>
            <w:r>
              <w:t>First non-whitespace char fontname contains "Bold"</w:t>
            </w:r>
          </w:p>
        </w:tc>
        <w:tc>
          <w:tcPr>
            <w:tcW w:type="dxa" w:w="2880"/>
          </w:tcPr>
          <w:p>
            <w:r>
              <w:t>LLM classification signal</w:t>
            </w:r>
          </w:p>
        </w:tc>
      </w:tr>
      <w:tr>
        <w:tc>
          <w:tcPr>
            <w:tcW w:type="dxa" w:w="2880"/>
          </w:tcPr>
          <w:p>
            <w:r>
              <w:t>is_italic</w:t>
            </w:r>
          </w:p>
        </w:tc>
        <w:tc>
          <w:tcPr>
            <w:tcW w:type="dxa" w:w="2880"/>
          </w:tcPr>
          <w:p>
            <w:r>
              <w:t>First non-whitespace char fontname contains "Italic"/"Oblique"</w:t>
            </w:r>
          </w:p>
        </w:tc>
        <w:tc>
          <w:tcPr>
            <w:tcW w:type="dxa" w:w="2880"/>
          </w:tcPr>
          <w:p>
            <w:r>
              <w:t>LLM classification signal</w:t>
            </w:r>
          </w:p>
        </w:tc>
      </w:tr>
    </w:tbl>
    <w:p/>
    <w:p>
      <w:pPr>
        <w:spacing w:after="120"/>
      </w:pPr>
      <w:r>
        <w:t>Some PDFs render text twice (layered bold shadow), causing pdfplumber to return doubled characters (e.g. 'HHeelllloo'). A deduplication step detects this pattern and collapses it before the block is sent to the LLM.</w:t>
      </w:r>
    </w:p>
    <w:p>
      <w:pPr>
        <w:pStyle w:val="Heading1"/>
      </w:pPr>
      <w:r>
        <w:rPr>
          <w:color w:val="1E40AF"/>
        </w:rPr>
        <w:t>4. LLM Classification Strategy</w:t>
      </w:r>
    </w:p>
    <w:p>
      <w:pPr>
        <w:pStyle w:val="Heading2"/>
      </w:pPr>
      <w:r>
        <w:rPr>
          <w:color w:val="1E40AF"/>
        </w:rPr>
        <w:t>4.1  Model and Infrastructure</w:t>
      </w:r>
    </w:p>
    <w:p>
      <w:pPr>
        <w:spacing w:after="120"/>
      </w:pPr>
      <w:r>
        <w:t>Classification is performed by a locally running Ollama model. No data leaves the machine. The default model is llama3.3:70b, which offers the best accuracy. A smaller model (llama3.1:8b) can be used for faster inference on machines with less memory. The model and server URL are set in dmpbridge/config.py.</w:t>
      </w:r>
    </w:p>
    <w:p>
      <w:pPr>
        <w:pStyle w:val="Heading2"/>
      </w:pPr>
      <w:r>
        <w:rPr>
          <w:color w:val="1E40AF"/>
        </w:rPr>
        <w:t>4.2  Input Encoding — Approach Comparison</w:t>
      </w:r>
    </w:p>
    <w:p>
      <w:pPr>
        <w:spacing w:after="120"/>
      </w:pPr>
      <w:r>
        <w:t>Two input encoding approaches were tested on 10 sample DMPs and evaluated against manually labeled ground truth: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40AF"/>
          </w:tcPr>
          <w:p>
            <w:r>
              <w:rPr>
                <w:b/>
                <w:color w:val="FFFFFF"/>
              </w:rPr>
              <w:t>Approach</w:t>
            </w:r>
          </w:p>
        </w:tc>
        <w:tc>
          <w:tcPr>
            <w:tcW w:type="dxa" w:w="2160"/>
            <w:shd w:val="clear" w:color="auto" w:fill="1E40AF"/>
          </w:tcPr>
          <w:p>
            <w:r>
              <w:rPr>
                <w:b/>
                <w:color w:val="FFFFFF"/>
              </w:rPr>
              <w:t>Block Sent to LLM</w:t>
            </w:r>
          </w:p>
        </w:tc>
        <w:tc>
          <w:tcPr>
            <w:tcW w:type="dxa" w:w="2160"/>
            <w:shd w:val="clear" w:color="auto" w:fill="1E40AF"/>
          </w:tcPr>
          <w:p>
            <w:r>
              <w:rPr>
                <w:b/>
                <w:color w:val="FFFFFF"/>
              </w:rPr>
              <w:t>Overall Accuracy</w:t>
            </w:r>
          </w:p>
        </w:tc>
        <w:tc>
          <w:tcPr>
            <w:tcW w:type="dxa" w:w="2160"/>
            <w:shd w:val="clear" w:color="auto" w:fill="1E40AF"/>
          </w:tcPr>
          <w:p>
            <w:r>
              <w:rPr>
                <w:b/>
                <w:color w:val="FFFFFF"/>
              </w:rPr>
              <w:t>Outcome</w:t>
            </w:r>
          </w:p>
        </w:tc>
      </w:tr>
      <w:tr>
        <w:tc>
          <w:tcPr>
            <w:tcW w:type="dxa" w:w="2160"/>
          </w:tcPr>
          <w:p>
            <w:r>
              <w:t>A1 — Boolean flags</w:t>
            </w:r>
          </w:p>
        </w:tc>
        <w:tc>
          <w:tcPr>
            <w:tcW w:type="dxa" w:w="2160"/>
          </w:tcPr>
          <w:p>
            <w:r>
              <w:t>{"id":0, "text":"...", "bold":true, "italic":false}</w:t>
            </w:r>
          </w:p>
        </w:tc>
        <w:tc>
          <w:tcPr>
            <w:tcW w:type="dxa" w:w="2160"/>
          </w:tcPr>
          <w:p>
            <w:r>
              <w:t>88.3%</w:t>
            </w:r>
          </w:p>
        </w:tc>
        <w:tc>
          <w:tcPr>
            <w:tcW w:type="dxa" w:w="2160"/>
          </w:tcPr>
          <w:p>
            <w:r>
              <w:t>Winner — adopted</w:t>
            </w:r>
          </w:p>
        </w:tc>
      </w:tr>
      <w:tr>
        <w:tc>
          <w:tcPr>
            <w:tcW w:type="dxa" w:w="2160"/>
          </w:tcPr>
          <w:p>
            <w:r>
              <w:t>A2 — Markdown encoding</w:t>
            </w:r>
          </w:p>
        </w:tc>
        <w:tc>
          <w:tcPr>
            <w:tcW w:type="dxa" w:w="2160"/>
          </w:tcPr>
          <w:p>
            <w:r>
              <w:t>"## **bold heading text**"</w:t>
            </w:r>
          </w:p>
        </w:tc>
        <w:tc>
          <w:tcPr>
            <w:tcW w:type="dxa" w:w="2160"/>
          </w:tcPr>
          <w:p>
            <w:r>
              <w:t>80.0%</w:t>
            </w:r>
          </w:p>
        </w:tc>
        <w:tc>
          <w:tcPr>
            <w:tcW w:type="dxa" w:w="2160"/>
          </w:tcPr>
          <w:p>
            <w:r>
              <w:t>Rejected — hurt question.text detection</w:t>
            </w:r>
          </w:p>
        </w:tc>
      </w:tr>
    </w:tbl>
    <w:p/>
    <w:p>
      <w:pPr>
        <w:spacing w:after="120"/>
      </w:pPr>
      <w:r>
        <w:t>Approach A1 (boolean flags) was adopted. Markdown encoding caused the model to confuse structural signals with formatting intent and reduced question.text detection to 0 in half the samples.</w:t>
      </w:r>
    </w:p>
    <w:p>
      <w:pPr>
        <w:pStyle w:val="Heading2"/>
      </w:pPr>
      <w:r>
        <w:rPr>
          <w:color w:val="1E40AF"/>
        </w:rPr>
        <w:t>4.3  Batching</w:t>
      </w:r>
    </w:p>
    <w:p>
      <w:pPr>
        <w:spacing w:after="120"/>
      </w:pPr>
      <w:r>
        <w:t>Blocks are sent to the LLM in batches of 10 (configurable via BATCH_SIZE in config.py). The model returns a JSON array with one label per block. The batch size balances throughput against context length — smaller batches reduce the risk of the model losing track of earlier blocks in the list.</w:t>
      </w:r>
    </w:p>
    <w:p>
      <w:pPr>
        <w:pStyle w:val="Heading2"/>
      </w:pPr>
      <w:r>
        <w:rPr>
          <w:color w:val="1E40AF"/>
        </w:rPr>
        <w:t>4.4  Few-Shot Examples</w:t>
      </w:r>
    </w:p>
    <w:p>
      <w:pPr>
        <w:spacing w:after="120"/>
      </w:pPr>
      <w:r>
        <w:t>The system prompt contains real examples of each label drawn from manually labeled DMPs. This was the single biggest improvement: before adding few-shot examples, section.description had 0% F1. After adding them it reached 88.9% F1. The examples show the model exactly what each label looks like in real DMP text, particularly the hard section.description vs answer.text distinction.</w:t>
      </w:r>
    </w:p>
    <w:p>
      <w:pPr>
        <w:spacing w:before="80" w:after="80"/>
        <w:ind w:left="576"/>
        <w:shd w:val="clear" w:color="auto" w:fill="EFF6FF"/>
      </w:pPr>
      <w:r>
        <w:rPr>
          <w:rFonts w:ascii="Courier New" w:hAnsi="Courier New"/>
          <w:color w:val="1E40AF"/>
          <w:sz w:val="18"/>
        </w:rPr>
        <w:t>section.description (funder template text):</w:t>
        <w:br/>
        <w:t xml:space="preserve">  "Data management plans should describe whether and how data generated in the</w:t>
        <w:br/>
        <w:t xml:space="preserve">   course of the proposed research will be shared and preserved."</w:t>
        <w:br/>
        <w:br/>
        <w:t>answer.text (researcher response):</w:t>
        <w:br/>
        <w:t xml:space="preserve">  "This secondary data analysis project will analyze deidentified data from</w:t>
        <w:br/>
        <w:t xml:space="preserve">   48,218 participants from eight studies."</w:t>
      </w:r>
    </w:p>
    <w:p>
      <w:pPr>
        <w:pStyle w:val="Heading2"/>
      </w:pPr>
      <w:r>
        <w:rPr>
          <w:color w:val="1E40AF"/>
        </w:rPr>
        <w:t>4.5  Context Window</w:t>
      </w:r>
    </w:p>
    <w:p>
      <w:pPr>
        <w:spacing w:after="120"/>
      </w:pPr>
      <w:r>
        <w:t>Each batch is sent with the last 3 already-labeled blocks prepended as read-only context. This lets the model use surrounding structure to disambiguate — for example, knowing that the previous block was labeled section.title helps it correctly classify the next block as section.description rather than answer.text.</w:t>
      </w:r>
    </w:p>
    <w:p>
      <w:pPr>
        <w:spacing w:before="80" w:after="80"/>
        <w:ind w:left="576"/>
        <w:shd w:val="clear" w:color="auto" w:fill="EFF6FF"/>
      </w:pPr>
      <w:r>
        <w:rPr>
          <w:rFonts w:ascii="Courier New" w:hAnsi="Courier New"/>
          <w:color w:val="1E40AF"/>
          <w:sz w:val="18"/>
        </w:rPr>
        <w:t>PRECEDING BLOCKS (already labeled — context only):</w:t>
        <w:br/>
        <w:t>[{"text": "Element 1: Data Type:", "bold": true, "label": "section.title"}]</w:t>
        <w:br/>
        <w:br/>
        <w:t>TO CLASSIFY:</w:t>
        <w:br/>
        <w:t>[{"id": 5, "text": "Data management plans should describe...", "bold": false}]</w:t>
      </w:r>
    </w:p>
    <w:p>
      <w:pPr>
        <w:pStyle w:val="Heading2"/>
      </w:pPr>
      <w:r>
        <w:t>4.6  Post-processing Smoothing Rules</w:t>
      </w:r>
    </w:p>
    <w:p>
      <w:pPr/>
      <w:r>
        <w:t>Two smoothing rules are applied after LLM labeling (pipeline.py _smooth_labels) to correct systematic font-style classification errors:</w:t>
        <w:br/>
        <w:br/>
        <w:t>Rule 1 - Bold+italic unnumbered block: if the LLM labels a block as section.title or section.description, and the block starts bold+italic and has no leading number, it is relabeled question.text. Example: "Data Sharing and Data Preservation. A description of the plans..." is bold+italic and unnumbered, so it becomes question.text even if the LLM called it section.title.</w:t>
        <w:br/>
        <w:br/>
        <w:t>Rule 2 - Italic continuation chain: if an italic-only block is labeled section.description and the immediately preceding block is labeled question.text, it is also relabeled question.text. This rule chains forward through consecutive italic continuation lines.</w:t>
        <w:br/>
        <w:br/>
        <w:t>Together these rules improved question.text recall from 69% to 92.7% and overall accuracy to 97.2%.</w:t>
      </w:r>
    </w:p>
    <w:p>
      <w:pPr>
        <w:pStyle w:val="Heading2"/>
      </w:pPr>
      <w:r>
        <w:t>4.7  Structured JSON Converter</w:t>
      </w:r>
    </w:p>
    <w:p>
      <w:pPr/>
      <w:r>
        <w:t>After LLM labeling and post-processing smoothing, the flat block list is optionally converted into a hierarchical JSON that matches the manual annotation schema in data/manuallabeled/ (dmpbridge/converter.py).</w:t>
        <w:br/>
        <w:br/>
        <w:t>The converter walks the flat block list in document order and groups blocks by label:</w:t>
        <w:br/>
        <w:t xml:space="preserve">  title          -&gt; template.title</w:t>
        <w:br/>
        <w:t xml:space="preserve">  section.title  -&gt; opens a new section object</w:t>
        <w:br/>
        <w:t xml:space="preserve">  section.description -&gt; concatenated (newline-joined) into section.description</w:t>
        <w:br/>
        <w:t xml:space="preserve">  question.text  -&gt; opens a new question inside the current section</w:t>
        <w:br/>
        <w:t xml:space="preserve">  answer.text    -&gt; concatenated (space-joined) into question.answer.json.answer</w:t>
        <w:br/>
        <w:br/>
        <w:t>The flat labeled JSON (with block coordinates) is always saved and powers the PDF viewer. The structured JSON is saved alongside as &lt;sample&gt;_&lt;model&gt;_structured.json. Both files are produced in one pipeline call via the structured_output parameter.</w:t>
        <w:br/>
        <w:br/>
        <w:t>Structured JSON files for all 10 samples are in data/llmlabeled/ as *_structured.json.</w:t>
      </w:r>
    </w:p>
    <w:p>
      <w:pPr>
        <w:pStyle w:val="Heading1"/>
      </w:pPr>
      <w:r>
        <w:rPr>
          <w:color w:val="1E40AF"/>
        </w:rPr>
        <w:t>5. Evaluation Strategy</w:t>
      </w:r>
    </w:p>
    <w:p>
      <w:pPr>
        <w:pStyle w:val="Heading2"/>
      </w:pPr>
      <w:r>
        <w:rPr>
          <w:color w:val="1E40AF"/>
        </w:rPr>
        <w:t>5.1  Ground Truth Format</w:t>
      </w:r>
    </w:p>
    <w:p>
      <w:pPr>
        <w:spacing w:after="120"/>
      </w:pPr>
      <w:r>
        <w:t>Ten DMP PDFs were manually labeled and stored as structured JSON in data/manuallabeled/. The manual labels follow a hierarchical format:</w:t>
      </w:r>
    </w:p>
    <w:p>
      <w:pPr>
        <w:spacing w:before="80" w:after="80"/>
        <w:ind w:left="576"/>
        <w:shd w:val="clear" w:color="auto" w:fill="EFF6FF"/>
      </w:pPr>
      <w:r>
        <w:rPr>
          <w:rFonts w:ascii="Courier New" w:hAnsi="Courier New"/>
          <w:color w:val="1E40AF"/>
          <w:sz w:val="18"/>
        </w:rPr>
        <w:t>narrative → template → section[] → question[] → answer</w:t>
        <w:br/>
        <w:t xml:space="preserve">  section.title      = template.section[i].title</w:t>
        <w:br/>
        <w:t xml:space="preserve">  section.description= template.section[i].description</w:t>
        <w:br/>
        <w:t xml:space="preserve">  question.text      = template.section[i].question[j].text</w:t>
        <w:br/>
        <w:t xml:space="preserve">  answer.text        = template.section[i].question[j].answer.json.answer</w:t>
      </w:r>
    </w:p>
    <w:p>
      <w:pPr>
        <w:pStyle w:val="Heading2"/>
      </w:pPr>
      <w:r>
        <w:rPr>
          <w:color w:val="1E40AF"/>
        </w:rPr>
        <w:t>5.2  Block Matching</w:t>
      </w:r>
    </w:p>
    <w:p>
      <w:pPr>
        <w:spacing w:after="120"/>
      </w:pPr>
      <w:r>
        <w:t>The manual labels are document-level strings (one entry per section/question/answer), while the LLM output is a flat list of short pdfplumber blocks. Matching is done by text containment: for each LLM block, the fraction of its tokens that appear in each gold text is computed, and the gold entry with the highest containment score is selected as the ground truth label.</w:t>
      </w:r>
    </w:p>
    <w:p>
      <w:pPr>
        <w:spacing w:after="120"/>
      </w:pPr>
      <w:r>
        <w:t>Containment (block tokens ⊆ gold tokens) is used instead of Jaccard overlap because long answer paragraphs are split into many short blocks. A block of 10 words drawn from a 200-word answer would score nearly 0% Jaccard but 100% containment.</w:t>
      </w:r>
    </w:p>
    <w:p>
      <w:pPr>
        <w:spacing w:before="80" w:after="80"/>
        <w:ind w:left="576"/>
        <w:shd w:val="clear" w:color="auto" w:fill="EFF6FF"/>
      </w:pPr>
      <w:r>
        <w:rPr>
          <w:rFonts w:ascii="Courier New" w:hAnsi="Courier New"/>
          <w:color w:val="1E40AF"/>
          <w:sz w:val="18"/>
        </w:rPr>
        <w:t>containment = |block_tokens intersect gold_tokens| / |block_tokens|</w:t>
        <w:br/>
        <w:t>Threshold: &gt;= 0.75 containment.</w:t>
        <w:br/>
        <w:t>Blocks whose best containment score falls below 0.75 (no gold entry is a close enough match) are counted as errors in the per-sample accuracy under the label "no_match". They are excluded from the per-label confusion matrix and F1 scores because no ground-truth label can be assigned to them.</w:t>
      </w:r>
    </w:p>
    <w:p>
      <w:pPr>
        <w:pStyle w:val="Heading2"/>
      </w:pPr>
      <w:r>
        <w:rPr>
          <w:color w:val="1E40AF"/>
        </w:rPr>
        <w:t>5.3  Results</w:t>
      </w:r>
    </w:p>
    <w:p>
      <w:pPr>
        <w:spacing w:after="120"/>
      </w:pPr>
      <w:r>
        <w:t>Evaluated across all 10 samples using the final improved classifier: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40AF"/>
          </w:tcPr>
          <w:p>
            <w:r>
              <w:rPr>
                <w:b/>
                <w:color w:val="FFFFFF"/>
              </w:rPr>
              <w:t>Label</w:t>
            </w:r>
          </w:p>
        </w:tc>
        <w:tc>
          <w:tcPr>
            <w:tcW w:type="dxa" w:w="1728"/>
            <w:shd w:val="clear" w:color="auto" w:fill="1E40AF"/>
          </w:tcPr>
          <w:p>
            <w:r>
              <w:rPr>
                <w:b/>
                <w:color w:val="FFFFFF"/>
              </w:rPr>
              <w:t>Precision</w:t>
            </w:r>
          </w:p>
        </w:tc>
        <w:tc>
          <w:tcPr>
            <w:tcW w:type="dxa" w:w="1728"/>
            <w:shd w:val="clear" w:color="auto" w:fill="1E40AF"/>
          </w:tcPr>
          <w:p>
            <w:r>
              <w:rPr>
                <w:b/>
                <w:color w:val="FFFFFF"/>
              </w:rPr>
              <w:t>Recall</w:t>
            </w:r>
          </w:p>
        </w:tc>
        <w:tc>
          <w:tcPr>
            <w:tcW w:type="dxa" w:w="1728"/>
            <w:shd w:val="clear" w:color="auto" w:fill="1E40AF"/>
          </w:tcPr>
          <w:p>
            <w:r>
              <w:rPr>
                <w:b/>
                <w:color w:val="FFFFFF"/>
              </w:rPr>
              <w:t>F1</w:t>
            </w:r>
          </w:p>
        </w:tc>
        <w:tc>
          <w:tcPr>
            <w:tcW w:type="dxa" w:w="1728"/>
            <w:shd w:val="clear" w:color="auto" w:fill="1E40AF"/>
          </w:tcPr>
          <w:p>
            <w:r>
              <w:rPr>
                <w:b/>
                <w:color w:val="FFFFFF"/>
              </w:rPr>
              <w:t>Support</w:t>
            </w:r>
          </w:p>
        </w:tc>
      </w:tr>
      <w:tr>
        <w:tc>
          <w:tcPr>
            <w:tcW w:type="dxa" w:w="1728"/>
          </w:tcPr>
          <w:p>
            <w:r>
              <w:t>title</w:t>
            </w:r>
          </w:p>
        </w:tc>
        <w:tc>
          <w:tcPr>
            <w:tcW w:type="dxa" w:w="1728"/>
          </w:tcPr>
          <w:p>
            <w:r>
              <w:t>100.0%</w:t>
            </w:r>
          </w:p>
        </w:tc>
        <w:tc>
          <w:tcPr>
            <w:tcW w:type="dxa" w:w="1728"/>
          </w:tcPr>
          <w:p>
            <w:r>
              <w:t>81.8%</w:t>
            </w:r>
          </w:p>
        </w:tc>
        <w:tc>
          <w:tcPr>
            <w:tcW w:type="dxa" w:w="1728"/>
          </w:tcPr>
          <w:p>
            <w:r>
              <w:t>90.0%</w:t>
            </w:r>
          </w:p>
        </w:tc>
        <w:tc>
          <w:tcPr>
            <w:tcW w:type="dxa" w:w="1728"/>
          </w:tcPr>
          <w:p>
            <w:r>
              <w:t>11</w:t>
            </w:r>
          </w:p>
        </w:tc>
      </w:tr>
      <w:tr>
        <w:tc>
          <w:tcPr>
            <w:tcW w:type="dxa" w:w="1728"/>
          </w:tcPr>
          <w:p>
            <w:r>
              <w:t>section.title</w:t>
            </w:r>
          </w:p>
        </w:tc>
        <w:tc>
          <w:tcPr>
            <w:tcW w:type="dxa" w:w="1728"/>
          </w:tcPr>
          <w:p>
            <w:r>
              <w:t>81.8%</w:t>
            </w:r>
          </w:p>
        </w:tc>
        <w:tc>
          <w:tcPr>
            <w:tcW w:type="dxa" w:w="1728"/>
          </w:tcPr>
          <w:p>
            <w:r>
              <w:t>90.0%</w:t>
            </w:r>
          </w:p>
        </w:tc>
        <w:tc>
          <w:tcPr>
            <w:tcW w:type="dxa" w:w="1728"/>
          </w:tcPr>
          <w:p>
            <w:r>
              <w:t>85.7%</w:t>
            </w:r>
          </w:p>
        </w:tc>
        <w:tc>
          <w:tcPr>
            <w:tcW w:type="dxa" w:w="1728"/>
          </w:tcPr>
          <w:p>
            <w:r>
              <w:t>40</w:t>
            </w:r>
          </w:p>
        </w:tc>
      </w:tr>
      <w:tr>
        <w:tc>
          <w:tcPr>
            <w:tcW w:type="dxa" w:w="1728"/>
          </w:tcPr>
          <w:p>
            <w:r>
              <w:t>section.description</w:t>
            </w:r>
          </w:p>
        </w:tc>
        <w:tc>
          <w:tcPr>
            <w:tcW w:type="dxa" w:w="1728"/>
          </w:tcPr>
          <w:p>
            <w:r>
              <w:t>89.1%</w:t>
            </w:r>
          </w:p>
        </w:tc>
        <w:tc>
          <w:tcPr>
            <w:tcW w:type="dxa" w:w="1728"/>
          </w:tcPr>
          <w:p>
            <w:r>
              <w:t>100.0%</w:t>
            </w:r>
          </w:p>
        </w:tc>
        <w:tc>
          <w:tcPr>
            <w:tcW w:type="dxa" w:w="1728"/>
          </w:tcPr>
          <w:p>
            <w:r>
              <w:t>94.2%</w:t>
            </w:r>
          </w:p>
        </w:tc>
        <w:tc>
          <w:tcPr>
            <w:tcW w:type="dxa" w:w="1728"/>
          </w:tcPr>
          <w:p>
            <w:r>
              <w:t>57</w:t>
            </w:r>
          </w:p>
        </w:tc>
      </w:tr>
      <w:tr>
        <w:tc>
          <w:tcPr>
            <w:tcW w:type="dxa" w:w="1728"/>
          </w:tcPr>
          <w:p>
            <w:r>
              <w:t>question.text</w:t>
            </w:r>
          </w:p>
        </w:tc>
        <w:tc>
          <w:tcPr>
            <w:tcW w:type="dxa" w:w="1728"/>
          </w:tcPr>
          <w:p>
            <w:r>
              <w:t>88.4%</w:t>
            </w:r>
          </w:p>
        </w:tc>
        <w:tc>
          <w:tcPr>
            <w:tcW w:type="dxa" w:w="1728"/>
          </w:tcPr>
          <w:p>
            <w:r>
              <w:t>92.7%</w:t>
            </w:r>
          </w:p>
        </w:tc>
        <w:tc>
          <w:tcPr>
            <w:tcW w:type="dxa" w:w="1728"/>
          </w:tcPr>
          <w:p>
            <w:r>
              <w:t>90.5%</w:t>
            </w:r>
          </w:p>
        </w:tc>
        <w:tc>
          <w:tcPr>
            <w:tcW w:type="dxa" w:w="1728"/>
          </w:tcPr>
          <w:p>
            <w:r>
              <w:t>41</w:t>
            </w:r>
          </w:p>
        </w:tc>
      </w:tr>
      <w:tr>
        <w:tc>
          <w:tcPr>
            <w:tcW w:type="dxa" w:w="1728"/>
          </w:tcPr>
          <w:p>
            <w:r>
              <w:t>answer.text</w:t>
            </w:r>
          </w:p>
        </w:tc>
        <w:tc>
          <w:tcPr>
            <w:tcW w:type="dxa" w:w="1728"/>
          </w:tcPr>
          <w:p>
            <w:r>
              <w:t>100.0%</w:t>
            </w:r>
          </w:p>
        </w:tc>
        <w:tc>
          <w:tcPr>
            <w:tcW w:type="dxa" w:w="1728"/>
          </w:tcPr>
          <w:p>
            <w:r>
              <w:t>98.1%</w:t>
            </w:r>
          </w:p>
        </w:tc>
        <w:tc>
          <w:tcPr>
            <w:tcW w:type="dxa" w:w="1728"/>
          </w:tcPr>
          <w:p>
            <w:r>
              <w:t>99.0%</w:t>
            </w:r>
          </w:p>
        </w:tc>
        <w:tc>
          <w:tcPr>
            <w:tcW w:type="dxa" w:w="1728"/>
          </w:tcPr>
          <w:p>
            <w:r>
              <w:t>577</w:t>
            </w:r>
          </w:p>
        </w:tc>
      </w:tr>
      <w:tr>
        <w:tc>
          <w:tcPr>
            <w:tcW w:type="dxa" w:w="1728"/>
          </w:tcPr>
          <w:p>
            <w:r>
              <w:t>Overall accuracy</w:t>
            </w:r>
          </w:p>
        </w:tc>
        <w:tc>
          <w:tcPr>
            <w:tcW w:type="dxa" w:w="1728"/>
          </w:tcPr>
          <w:p>
            <w:r/>
          </w:p>
        </w:tc>
        <w:tc>
          <w:tcPr>
            <w:tcW w:type="dxa" w:w="1728"/>
          </w:tcPr>
          <w:p>
            <w:r/>
          </w:p>
        </w:tc>
        <w:tc>
          <w:tcPr>
            <w:tcW w:type="dxa" w:w="1728"/>
          </w:tcPr>
          <w:p>
            <w:r>
              <w:t>97.2%</w:t>
            </w:r>
          </w:p>
        </w:tc>
        <w:tc>
          <w:tcPr>
            <w:tcW w:type="dxa" w:w="1728"/>
          </w:tcPr>
          <w:p>
            <w:r>
              <w:t>726</w:t>
            </w:r>
          </w:p>
        </w:tc>
      </w:tr>
    </w:tbl>
    <w:p/>
    <w:p>
      <w:pPr>
        <w:spacing w:after="120"/>
      </w:pPr>
      <w:r>
        <w:t>After post-processing smoothing rules, question.text recall improved from 69% to 92.7%. The main remaining errors are answer.text blocks that use instructional or template-like language labeled section.description (5 out of 577 cases). Sample6 shows 75.0% per-sample accuracy (3 unmatched blocks from combined section-title+answer lines); all other samples have 0 unmatched blocks. The confusion matrix and overall F1 cover the 726 blocks with a confirmed gold match.</w:t>
      </w:r>
    </w:p>
    <w:p>
      <w:pPr>
        <w:pStyle w:val="Heading1"/>
      </w:pPr>
      <w:r>
        <w:rPr>
          <w:color w:val="1E40AF"/>
        </w:rPr>
        <w:t>6. Architecture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40AF"/>
          </w:tcPr>
          <w:p>
            <w:r>
              <w:rPr>
                <w:b/>
                <w:color w:val="FFFFFF"/>
              </w:rPr>
              <w:t>Component</w:t>
            </w:r>
          </w:p>
        </w:tc>
        <w:tc>
          <w:tcPr>
            <w:tcW w:type="dxa" w:w="2880"/>
            <w:shd w:val="clear" w:color="auto" w:fill="1E40AF"/>
          </w:tcPr>
          <w:p>
            <w:r>
              <w:rPr>
                <w:b/>
                <w:color w:val="FFFFFF"/>
              </w:rPr>
              <w:t>File</w:t>
            </w:r>
          </w:p>
        </w:tc>
        <w:tc>
          <w:tcPr>
            <w:tcW w:type="dxa" w:w="2880"/>
            <w:shd w:val="clear" w:color="auto" w:fill="1E40AF"/>
          </w:tcPr>
          <w:p>
            <w:r>
              <w:rPr>
                <w:b/>
                <w:color w:val="FFFFFF"/>
              </w:rPr>
              <w:t>Responsibility</w:t>
            </w:r>
          </w:p>
        </w:tc>
      </w:tr>
      <w:tr>
        <w:tc>
          <w:tcPr>
            <w:tcW w:type="dxa" w:w="2880"/>
          </w:tcPr>
          <w:p>
            <w:r>
              <w:t>Extractor</w:t>
            </w:r>
          </w:p>
        </w:tc>
        <w:tc>
          <w:tcPr>
            <w:tcW w:type="dxa" w:w="2880"/>
          </w:tcPr>
          <w:p>
            <w:r>
              <w:t>dmpbridge/extractor.py</w:t>
            </w:r>
          </w:p>
        </w:tc>
        <w:tc>
          <w:tcPr>
            <w:tcW w:type="dxa" w:w="2880"/>
          </w:tcPr>
          <w:p>
            <w:r>
              <w:t>pdfplumber extraction, font analysis, deduplication</w:t>
            </w:r>
          </w:p>
        </w:tc>
      </w:tr>
      <w:tr>
        <w:tc>
          <w:tcPr>
            <w:tcW w:type="dxa" w:w="2880"/>
          </w:tcPr>
          <w:p>
            <w:r>
              <w:t>Classifier</w:t>
            </w:r>
          </w:p>
        </w:tc>
        <w:tc>
          <w:tcPr>
            <w:tcW w:type="dxa" w:w="2880"/>
          </w:tcPr>
          <w:p>
            <w:r>
              <w:t>dmpbridge/classifier.py</w:t>
            </w:r>
          </w:p>
        </w:tc>
        <w:tc>
          <w:tcPr>
            <w:tcW w:type="dxa" w:w="2880"/>
          </w:tcPr>
          <w:p>
            <w:r>
              <w:t>Ollama API calls, few-shot prompt, context window, batching</w:t>
            </w:r>
          </w:p>
        </w:tc>
      </w:tr>
      <w:tr>
        <w:tc>
          <w:tcPr>
            <w:tcW w:type="dxa" w:w="2880"/>
          </w:tcPr>
          <w:p>
            <w:r>
              <w:t>Pipeline</w:t>
            </w:r>
          </w:p>
        </w:tc>
        <w:tc>
          <w:tcPr>
            <w:tcW w:type="dxa" w:w="2880"/>
          </w:tcPr>
          <w:p>
            <w:r>
              <w:t>dmpbridge/pipeline.py</w:t>
            </w:r>
          </w:p>
        </w:tc>
        <w:tc>
          <w:tcPr>
            <w:tcW w:type="dxa" w:w="2880"/>
          </w:tcPr>
          <w:p>
            <w:r>
              <w:t>Orchestrates extract -&gt; classify -&gt; smooth -&gt; save flat + structured JSON</w:t>
            </w:r>
          </w:p>
        </w:tc>
      </w:tr>
      <w:tr>
        <w:tc>
          <w:tcPr>
            <w:tcW w:type="dxa" w:w="2880"/>
          </w:tcPr>
          <w:p>
            <w:r>
              <w:t>Converter</w:t>
            </w:r>
          </w:p>
        </w:tc>
        <w:tc>
          <w:tcPr>
            <w:tcW w:type="dxa" w:w="2880"/>
          </w:tcPr>
          <w:p>
            <w:r>
              <w:t>dmpbridge/converter.py</w:t>
            </w:r>
          </w:p>
        </w:tc>
        <w:tc>
          <w:tcPr>
            <w:tcW w:type="dxa" w:w="2880"/>
          </w:tcPr>
          <w:p>
            <w:r>
              <w:t>Converts flat labeled blocks to hierarchical JSON (manual annotation schema)</w:t>
            </w:r>
          </w:p>
        </w:tc>
      </w:tr>
      <w:tr>
        <w:tc>
          <w:tcPr>
            <w:tcW w:type="dxa" w:w="2880"/>
          </w:tcPr>
          <w:p>
            <w:r>
              <w:t>CLI</w:t>
            </w:r>
          </w:p>
        </w:tc>
        <w:tc>
          <w:tcPr>
            <w:tcW w:type="dxa" w:w="2880"/>
          </w:tcPr>
          <w:p>
            <w:r>
              <w:t>dmpbridge/cli.py</w:t>
            </w:r>
          </w:p>
        </w:tc>
        <w:tc>
          <w:tcPr>
            <w:tcW w:type="dxa" w:w="2880"/>
          </w:tcPr>
          <w:p>
            <w:r>
              <w:t>Command-line entry point</w:t>
            </w:r>
          </w:p>
        </w:tc>
      </w:tr>
      <w:tr>
        <w:tc>
          <w:tcPr>
            <w:tcW w:type="dxa" w:w="2880"/>
          </w:tcPr>
          <w:p>
            <w:r>
              <w:t>Config</w:t>
            </w:r>
          </w:p>
        </w:tc>
        <w:tc>
          <w:tcPr>
            <w:tcW w:type="dxa" w:w="2880"/>
          </w:tcPr>
          <w:p>
            <w:r>
              <w:t>dmpbridge/config.py</w:t>
            </w:r>
          </w:p>
        </w:tc>
        <w:tc>
          <w:tcPr>
            <w:tcW w:type="dxa" w:w="2880"/>
          </w:tcPr>
          <w:p>
            <w:r>
              <w:t>Model name, Ollama host, batch size</w:t>
            </w:r>
          </w:p>
        </w:tc>
      </w:tr>
      <w:tr>
        <w:tc>
          <w:tcPr>
            <w:tcW w:type="dxa" w:w="2880"/>
          </w:tcPr>
          <w:p>
            <w:r>
              <w:t>Viewer</w:t>
            </w:r>
          </w:p>
        </w:tc>
        <w:tc>
          <w:tcPr>
            <w:tcW w:type="dxa" w:w="2880"/>
          </w:tcPr>
          <w:p>
            <w:r>
              <w:t>dmpbridge.html</w:t>
            </w:r>
          </w:p>
        </w:tc>
        <w:tc>
          <w:tcPr>
            <w:tcW w:type="dxa" w:w="2880"/>
          </w:tcPr>
          <w:p>
            <w:r>
              <w:t>Standalone PDF + JSON side-by-side browser UI</w:t>
            </w:r>
          </w:p>
        </w:tc>
      </w:tr>
      <w:tr>
        <w:tc>
          <w:tcPr>
            <w:tcW w:type="dxa" w:w="2880"/>
          </w:tcPr>
          <w:p>
            <w:r>
              <w:t>API Server</w:t>
            </w:r>
          </w:p>
        </w:tc>
        <w:tc>
          <w:tcPr>
            <w:tcW w:type="dxa" w:w="2880"/>
          </w:tcPr>
          <w:p>
            <w:r>
              <w:t>main.py</w:t>
            </w:r>
          </w:p>
        </w:tc>
        <w:tc>
          <w:tcPr>
            <w:tcW w:type="dxa" w:w="2880"/>
          </w:tcPr>
          <w:p>
            <w:r>
              <w:t>FastAPI server for browser-based file upload</w:t>
            </w:r>
          </w:p>
        </w:tc>
      </w:tr>
      <w:tr>
        <w:tc>
          <w:tcPr>
            <w:tcW w:type="dxa" w:w="2880"/>
          </w:tcPr>
          <w:p>
            <w:r>
              <w:t>Evaluation</w:t>
            </w:r>
          </w:p>
        </w:tc>
        <w:tc>
          <w:tcPr>
            <w:tcW w:type="dxa" w:w="2880"/>
          </w:tcPr>
          <w:p>
            <w:r>
              <w:t>evaluate.py</w:t>
            </w:r>
          </w:p>
        </w:tc>
        <w:tc>
          <w:tcPr>
            <w:tcW w:type="dxa" w:w="2880"/>
          </w:tcPr>
          <w:p>
            <w:r>
              <w:t>Confusion matrix and F1 against manual labels</w:t>
            </w:r>
          </w:p>
        </w:tc>
      </w:tr>
      <w:tr>
        <w:tc>
          <w:tcPr>
            <w:tcW w:type="dxa" w:w="2880"/>
          </w:tcPr>
          <w:p>
            <w:r>
              <w:t>Eval Notebook</w:t>
            </w:r>
          </w:p>
        </w:tc>
        <w:tc>
          <w:tcPr>
            <w:tcW w:type="dxa" w:w="2880"/>
          </w:tcPr>
          <w:p>
            <w:r>
              <w:t>notebooks/03_label_evaluation.ipynb</w:t>
            </w:r>
          </w:p>
        </w:tc>
        <w:tc>
          <w:tcPr>
            <w:tcW w:type="dxa" w:w="2880"/>
          </w:tcPr>
          <w:p>
            <w:r>
              <w:t>Visual charts: accuracy, confusion heatmap, F1 bars</w:t>
            </w:r>
          </w:p>
        </w:tc>
      </w:tr>
    </w:tbl>
    <w:p/>
    <w:p>
      <w:pPr>
        <w:pStyle w:val="Heading1"/>
      </w:pPr>
      <w:r>
        <w:rPr>
          <w:color w:val="1E40AF"/>
        </w:rPr>
        <w:t>7. Known Limitations and Potential Next Steps</w:t>
      </w:r>
    </w:p>
    <w:p>
      <w:pPr>
        <w:spacing w:after="120"/>
      </w:pPr>
      <w:r>
        <w:t>Current limitations:</w:t>
      </w:r>
    </w:p>
    <w:p>
      <w:pPr>
        <w:pStyle w:val="ListBullet"/>
        <w:spacing w:after="60"/>
      </w:pPr>
      <w:r>
        <w:t>question.text vs section.description confusion (90.5% F1 (after post-processing smoothing)) — sub-questions that use instructional language are ambiguous for the LLM.</w:t>
      </w:r>
    </w:p>
    <w:p>
      <w:pPr>
        <w:pStyle w:val="ListBullet"/>
        <w:spacing w:after="60"/>
      </w:pPr>
      <w:r>
        <w:t>answer.text blocks that span page breaks may be partially unmatched in evaluation.</w:t>
      </w:r>
    </w:p>
    <w:p>
      <w:pPr>
        <w:pStyle w:val="ListBullet"/>
        <w:spacing w:after="60"/>
      </w:pPr>
      <w:r>
        <w:t>Performance depends heavily on model size — llama3.1:8b produces noticeably lower quality than llama3.3:70b.</w:t>
      </w:r>
    </w:p>
    <w:p>
      <w:pPr>
        <w:pStyle w:val="ListBullet"/>
        <w:spacing w:after="60"/>
      </w:pPr>
      <w:r>
        <w:t>The pipeline is not rule-based — accuracy varies across DMP templates from different funders.</w:t>
      </w:r>
    </w:p>
    <w:p/>
    <w:p>
      <w:pPr>
        <w:spacing w:after="120"/>
      </w:pPr>
      <w:r>
        <w:t>Potential next steps:</w:t>
      </w:r>
    </w:p>
    <w:p>
      <w:pPr>
        <w:pStyle w:val="ListBullet"/>
        <w:spacing w:after="60"/>
      </w:pPr>
      <w:r>
        <w:t>Fine-tune a smaller model on the 10 manually labeled DMPs to reduce dependence on a 70B model.</w:t>
      </w:r>
    </w:p>
    <w:p>
      <w:pPr>
        <w:pStyle w:val="ListBullet"/>
        <w:spacing w:after="60"/>
      </w:pPr>
      <w:r>
        <w:t>Expand the manual label dataset — more labeled DMPs from diverse funders would improve few-shot coverage.</w:t>
      </w:r>
    </w:p>
    <w:p>
      <w:pPr>
        <w:pStyle w:val="ListBullet"/>
        <w:spacing w:after="60"/>
      </w:pPr>
      <w:r>
        <w:t>Add a confidence score per block — flag low-confidence predictions for human review.</w:t>
      </w:r>
    </w:p>
    <w:p>
      <w:pPr>
        <w:pStyle w:val="ListBullet"/>
        <w:spacing w:after="60"/>
      </w:pPr>
      <w:r>
        <w:t>Post-processing smoothing rules (implemented in pipeline.py): two rules correct systematic LLM errors — (1) bold+italic unnumbered blocks mislabeled as section.title or section.description are relabeled question.text; (2) italic-only blocks following question.text that are mislabeled section.description are propagated to question.text.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