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0B736" w14:textId="77777777" w:rsidR="001A3333" w:rsidRPr="004844A5" w:rsidRDefault="001A3333" w:rsidP="001A3333">
      <w:pPr>
        <w:autoSpaceDE w:val="0"/>
        <w:autoSpaceDN w:val="0"/>
        <w:adjustRightInd w:val="0"/>
        <w:spacing w:after="60" w:line="240" w:lineRule="auto"/>
        <w:jc w:val="both"/>
        <w:rPr>
          <w:rFonts w:ascii="Libertinus Sans" w:hAnsi="Libertinus Sans" w:cs="Libertinus Sans"/>
          <w:b/>
          <w:bCs/>
          <w:kern w:val="0"/>
          <w:lang w:val="en-US"/>
        </w:rPr>
      </w:pPr>
      <w:r>
        <w:rPr>
          <w:rFonts w:ascii="Libertinus Sans" w:hAnsi="Libertinus Sans" w:cs="Libertinus Sans"/>
          <w:b/>
          <w:bCs/>
          <w:kern w:val="0"/>
          <w:lang w:val="en-US"/>
        </w:rPr>
        <w:t>Section F</w:t>
      </w:r>
      <w:r w:rsidRPr="004844A5">
        <w:rPr>
          <w:rFonts w:ascii="Libertinus Sans" w:hAnsi="Libertinus Sans" w:cs="Libertinus Sans"/>
          <w:b/>
          <w:bCs/>
          <w:kern w:val="0"/>
          <w:lang w:val="en-US"/>
        </w:rPr>
        <w:t xml:space="preserve">. </w:t>
      </w:r>
      <w:r>
        <w:rPr>
          <w:rFonts w:ascii="Libertinus Sans" w:hAnsi="Libertinus Sans" w:cs="Libertinus Sans"/>
          <w:b/>
          <w:bCs/>
          <w:kern w:val="0"/>
          <w:lang w:val="en-US"/>
        </w:rPr>
        <w:t>The r</w:t>
      </w:r>
      <w:r w:rsidRPr="004844A5">
        <w:rPr>
          <w:rFonts w:ascii="Libertinus Sans" w:hAnsi="Libertinus Sans" w:cs="Libertinus Sans"/>
          <w:b/>
          <w:bCs/>
          <w:kern w:val="0"/>
          <w:lang w:val="en-US"/>
        </w:rPr>
        <w:t>eward function</w:t>
      </w:r>
    </w:p>
    <w:p w14:paraId="6CF16A6E" w14:textId="77777777" w:rsidR="001A3333" w:rsidRDefault="001A3333" w:rsidP="001A3333">
      <w:pPr>
        <w:autoSpaceDE w:val="0"/>
        <w:autoSpaceDN w:val="0"/>
        <w:adjustRightInd w:val="0"/>
        <w:spacing w:after="60" w:line="276" w:lineRule="auto"/>
        <w:ind w:firstLine="720"/>
        <w:jc w:val="both"/>
        <w:rPr>
          <w:rFonts w:ascii="Libertinus Sans" w:hAnsi="Libertinus Sans" w:cs="Libertinus Sans"/>
          <w:kern w:val="0"/>
          <w:szCs w:val="22"/>
          <w:lang w:val="en-US"/>
        </w:rPr>
      </w:pPr>
      <w:r>
        <w:rPr>
          <w:rFonts w:ascii="Libertinus Sans" w:hAnsi="Libertinus Sans" w:cs="Libertinus Sans"/>
          <w:kern w:val="0"/>
          <w:szCs w:val="22"/>
          <w:lang w:val="en-US"/>
        </w:rPr>
        <w:t>The generative capabilities of Nexerra</w:t>
      </w:r>
      <w:r w:rsidRPr="000C3BC3">
        <w:rPr>
          <w:rFonts w:ascii="Libertinus Sans" w:hAnsi="Libertinus Sans" w:cs="Libertinus Sans"/>
          <w:kern w:val="0"/>
          <w:szCs w:val="22"/>
          <w:vertAlign w:val="superscript"/>
          <w:lang w:val="en-US"/>
        </w:rPr>
        <w:t>R1</w:t>
      </w:r>
      <w:r>
        <w:rPr>
          <w:rFonts w:ascii="Libertinus Sans" w:hAnsi="Libertinus Sans" w:cs="Libertinus Sans"/>
          <w:kern w:val="0"/>
          <w:szCs w:val="22"/>
          <w:vertAlign w:val="superscript"/>
          <w:lang w:val="en-US"/>
        </w:rPr>
        <w:t xml:space="preserve"> </w:t>
      </w:r>
      <w:r>
        <w:rPr>
          <w:rFonts w:ascii="Libertinus Sans" w:hAnsi="Libertinus Sans" w:cs="Libertinus Sans"/>
          <w:kern w:val="0"/>
          <w:szCs w:val="22"/>
          <w:lang w:val="en-US"/>
        </w:rPr>
        <w:t>do not extend to the efficient discrimination of useful linkers – i.e., linkers with favorable properties – against linkers that are sub-optimal. Even with the addition of the flow model, we are at best able to favor linker sampling against certain target properties (for instance, linker length). For most applications, we need to optimize several, often competing properties. Such complex design criteria are not compatible with the working principles of Nexerra</w:t>
      </w:r>
      <w:r w:rsidRPr="000C3BC3">
        <w:rPr>
          <w:rFonts w:ascii="Libertinus Sans" w:hAnsi="Libertinus Sans" w:cs="Libertinus Sans"/>
          <w:kern w:val="0"/>
          <w:szCs w:val="22"/>
          <w:vertAlign w:val="superscript"/>
          <w:lang w:val="en-US"/>
        </w:rPr>
        <w:t>R1</w:t>
      </w:r>
      <w:r>
        <w:rPr>
          <w:rFonts w:ascii="Libertinus Sans" w:hAnsi="Libertinus Sans" w:cs="Libertinus Sans"/>
          <w:kern w:val="0"/>
          <w:szCs w:val="22"/>
          <w:lang w:val="en-US"/>
        </w:rPr>
        <w:t>.  We thus rely on reward functions that score linkers based on their utility for the application of interest. In this context, reward functions offer several advantages: (</w:t>
      </w:r>
      <w:r w:rsidRPr="000C3BC3">
        <w:rPr>
          <w:rFonts w:ascii="Libertinus Sans" w:hAnsi="Libertinus Sans" w:cs="Libertinus Sans"/>
          <w:b/>
          <w:bCs/>
          <w:kern w:val="0"/>
          <w:szCs w:val="22"/>
          <w:lang w:val="en-US"/>
        </w:rPr>
        <w:t>i</w:t>
      </w:r>
      <w:r>
        <w:rPr>
          <w:rFonts w:ascii="Libertinus Sans" w:hAnsi="Libertinus Sans" w:cs="Libertinus Sans"/>
          <w:kern w:val="0"/>
          <w:szCs w:val="22"/>
          <w:lang w:val="en-US"/>
        </w:rPr>
        <w:t>) they are modular, i.e., they can be easily formulated for an application of interest to screen for desirable linkers; (</w:t>
      </w:r>
      <w:r w:rsidRPr="000C3BC3">
        <w:rPr>
          <w:rFonts w:ascii="Libertinus Sans" w:hAnsi="Libertinus Sans" w:cs="Libertinus Sans"/>
          <w:b/>
          <w:bCs/>
          <w:kern w:val="0"/>
          <w:szCs w:val="22"/>
          <w:lang w:val="en-US"/>
        </w:rPr>
        <w:t>ii</w:t>
      </w:r>
      <w:r>
        <w:rPr>
          <w:rFonts w:ascii="Libertinus Sans" w:hAnsi="Libertinus Sans" w:cs="Libertinus Sans"/>
          <w:kern w:val="0"/>
          <w:szCs w:val="22"/>
          <w:lang w:val="en-US"/>
        </w:rPr>
        <w:t>) they are computationally cheap and do not require any additional model training; and (</w:t>
      </w:r>
      <w:r w:rsidRPr="00C14875">
        <w:rPr>
          <w:rFonts w:ascii="Libertinus Sans" w:hAnsi="Libertinus Sans" w:cs="Libertinus Sans"/>
          <w:b/>
          <w:bCs/>
          <w:kern w:val="0"/>
          <w:szCs w:val="22"/>
          <w:lang w:val="en-US"/>
        </w:rPr>
        <w:t>iii</w:t>
      </w:r>
      <w:r>
        <w:rPr>
          <w:rFonts w:ascii="Libertinus Sans" w:hAnsi="Libertinus Sans" w:cs="Libertinus Sans"/>
          <w:kern w:val="0"/>
          <w:szCs w:val="22"/>
          <w:lang w:val="en-US"/>
        </w:rPr>
        <w:t>) they can span arbitrary complexity. On the downside, these functions rely on several simplifications and assumptions, and on the whole are tough to generalize. Functions formulated for a system of interest, may not necessarily work well for other systems. Nonetheless, the flexibility on offer enables access to vast design spaces that in principle, span multiple application landscapes.</w:t>
      </w:r>
    </w:p>
    <w:p w14:paraId="048CF9AC" w14:textId="77777777" w:rsidR="001A3333" w:rsidRDefault="001A3333" w:rsidP="001A3333">
      <w:pPr>
        <w:autoSpaceDE w:val="0"/>
        <w:autoSpaceDN w:val="0"/>
        <w:adjustRightInd w:val="0"/>
        <w:spacing w:after="60" w:line="276" w:lineRule="auto"/>
        <w:ind w:firstLine="720"/>
        <w:jc w:val="both"/>
        <w:rPr>
          <w:rFonts w:ascii="Libertinus Sans" w:hAnsi="Libertinus Sans" w:cs="Libertinus Sans"/>
          <w:kern w:val="0"/>
          <w:szCs w:val="22"/>
          <w:lang w:val="en-US"/>
        </w:rPr>
      </w:pPr>
      <w:r>
        <w:rPr>
          <w:rFonts w:ascii="Libertinus Sans" w:hAnsi="Libertinus Sans" w:cs="Libertinus Sans"/>
          <w:kern w:val="0"/>
          <w:szCs w:val="22"/>
          <w:lang w:val="en-US"/>
        </w:rPr>
        <w:t>Here, as case studies, we formulate two reward functions targeting: (</w:t>
      </w:r>
      <w:r w:rsidRPr="00C14875">
        <w:rPr>
          <w:rFonts w:ascii="Libertinus Sans" w:hAnsi="Libertinus Sans" w:cs="Libertinus Sans"/>
          <w:b/>
          <w:bCs/>
          <w:kern w:val="0"/>
          <w:szCs w:val="22"/>
          <w:lang w:val="en-US"/>
        </w:rPr>
        <w:t>i</w:t>
      </w:r>
      <w:r>
        <w:rPr>
          <w:rFonts w:ascii="Libertinus Sans" w:hAnsi="Libertinus Sans" w:cs="Libertinus Sans"/>
          <w:kern w:val="0"/>
          <w:szCs w:val="22"/>
          <w:lang w:val="en-US"/>
        </w:rPr>
        <w:t>) gas storage and (</w:t>
      </w:r>
      <w:r w:rsidRPr="00C14875">
        <w:rPr>
          <w:rFonts w:ascii="Libertinus Sans" w:hAnsi="Libertinus Sans" w:cs="Libertinus Sans"/>
          <w:b/>
          <w:bCs/>
          <w:kern w:val="0"/>
          <w:szCs w:val="22"/>
          <w:lang w:val="en-US"/>
        </w:rPr>
        <w:t>ii</w:t>
      </w:r>
      <w:r>
        <w:rPr>
          <w:rFonts w:ascii="Libertinus Sans" w:hAnsi="Libertinus Sans" w:cs="Libertinus Sans"/>
          <w:kern w:val="0"/>
          <w:szCs w:val="22"/>
          <w:lang w:val="en-US"/>
        </w:rPr>
        <w:t xml:space="preserve">) biocompatibility. Before proceeding to the formulation of these functions, we preface the discussion by clarifying that these functions operate completely at the linker-level and do not explicitly account for metal-node and topology effects, host-guest interactions, and framework flexibility. These characteristics undoubtedly play critical roles in the overall performance, and can be evaluated using geometric analysis and molecular simulations on assembled frameworks. The goal here is to develop computationally lightweight structural filters to bias generation towards desirable chemotypes. </w:t>
      </w:r>
    </w:p>
    <w:p w14:paraId="2F52EAC4" w14:textId="77777777" w:rsidR="001A3333" w:rsidRDefault="001A3333" w:rsidP="001A3333">
      <w:pPr>
        <w:autoSpaceDE w:val="0"/>
        <w:autoSpaceDN w:val="0"/>
        <w:adjustRightInd w:val="0"/>
        <w:spacing w:after="60" w:line="276" w:lineRule="auto"/>
        <w:jc w:val="both"/>
        <w:rPr>
          <w:rFonts w:ascii="Libertinus Sans" w:hAnsi="Libertinus Sans" w:cs="Libertinus Sans"/>
          <w:b/>
          <w:bCs/>
          <w:kern w:val="0"/>
          <w:szCs w:val="22"/>
          <w:lang w:val="en-US"/>
        </w:rPr>
      </w:pPr>
    </w:p>
    <w:p w14:paraId="1B052C49" w14:textId="77777777" w:rsidR="001A3333" w:rsidRDefault="001A3333" w:rsidP="001A3333">
      <w:pPr>
        <w:autoSpaceDE w:val="0"/>
        <w:autoSpaceDN w:val="0"/>
        <w:adjustRightInd w:val="0"/>
        <w:spacing w:after="60" w:line="276" w:lineRule="auto"/>
        <w:jc w:val="both"/>
        <w:rPr>
          <w:rFonts w:ascii="Libertinus Sans" w:hAnsi="Libertinus Sans" w:cs="Libertinus Sans"/>
          <w:kern w:val="0"/>
          <w:szCs w:val="22"/>
          <w:lang w:val="en-US"/>
        </w:rPr>
      </w:pPr>
      <w:r w:rsidRPr="00017F41">
        <w:rPr>
          <w:rFonts w:ascii="Libertinus Sans" w:hAnsi="Libertinus Sans" w:cs="Libertinus Sans"/>
          <w:b/>
          <w:bCs/>
          <w:kern w:val="0"/>
          <w:szCs w:val="22"/>
          <w:lang w:val="en-US"/>
        </w:rPr>
        <w:t>F.1</w:t>
      </w:r>
      <w:r>
        <w:rPr>
          <w:rFonts w:ascii="Libertinus Sans" w:hAnsi="Libertinus Sans" w:cs="Libertinus Sans"/>
          <w:b/>
          <w:bCs/>
          <w:kern w:val="0"/>
          <w:szCs w:val="22"/>
          <w:lang w:val="en-US"/>
        </w:rPr>
        <w:t xml:space="preserve">. Gas storage. </w:t>
      </w:r>
      <w:r>
        <w:rPr>
          <w:rFonts w:ascii="Libertinus Sans" w:hAnsi="Libertinus Sans" w:cs="Libertinus Sans"/>
          <w:kern w:val="0"/>
          <w:szCs w:val="22"/>
          <w:lang w:val="en-US"/>
        </w:rPr>
        <w:t>In the design of adsorbents for gas storage (e.g., H</w:t>
      </w:r>
      <w:r w:rsidRPr="00B73D7F">
        <w:rPr>
          <w:rFonts w:ascii="Libertinus Sans" w:hAnsi="Libertinus Sans" w:cs="Libertinus Sans"/>
          <w:kern w:val="0"/>
          <w:szCs w:val="22"/>
          <w:vertAlign w:val="subscript"/>
          <w:lang w:val="en-US"/>
        </w:rPr>
        <w:t>2</w:t>
      </w:r>
      <w:r>
        <w:rPr>
          <w:rFonts w:ascii="Libertinus Sans" w:hAnsi="Libertinus Sans" w:cs="Libertinus Sans"/>
          <w:kern w:val="0"/>
          <w:szCs w:val="22"/>
          <w:lang w:val="en-US"/>
        </w:rPr>
        <w:t>, CH</w:t>
      </w:r>
      <w:r w:rsidRPr="00B73D7F">
        <w:rPr>
          <w:rFonts w:ascii="Libertinus Sans" w:hAnsi="Libertinus Sans" w:cs="Libertinus Sans"/>
          <w:kern w:val="0"/>
          <w:szCs w:val="22"/>
          <w:vertAlign w:val="subscript"/>
          <w:lang w:val="en-US"/>
        </w:rPr>
        <w:t>4</w:t>
      </w:r>
      <w:r>
        <w:rPr>
          <w:rFonts w:ascii="Libertinus Sans" w:hAnsi="Libertinus Sans" w:cs="Libertinus Sans"/>
          <w:kern w:val="0"/>
          <w:szCs w:val="22"/>
          <w:lang w:val="en-US"/>
        </w:rPr>
        <w:t>), the deliverable capacity is a critical design parameter. Here, the gravimetric uptake – mass of adsorbate taken up per unit mass of adsorbent – and the volumetric uptake – mass of adsorbate taken up per unit volume of adsorbent – are two equally important, yet competing metrics. Design strategies need to focus on concurrently optimizing both objectives. At the linker level, several structural characteristics influence framework-level gas storage capabilities: (</w:t>
      </w:r>
      <w:r w:rsidRPr="00B73D7F">
        <w:rPr>
          <w:rFonts w:ascii="Libertinus Sans" w:hAnsi="Libertinus Sans" w:cs="Libertinus Sans"/>
          <w:b/>
          <w:bCs/>
          <w:kern w:val="0"/>
          <w:szCs w:val="22"/>
          <w:lang w:val="en-US"/>
        </w:rPr>
        <w:t>i</w:t>
      </w:r>
      <w:r>
        <w:rPr>
          <w:rFonts w:ascii="Libertinus Sans" w:hAnsi="Libertinus Sans" w:cs="Libertinus Sans"/>
          <w:kern w:val="0"/>
          <w:szCs w:val="22"/>
          <w:lang w:val="en-US"/>
        </w:rPr>
        <w:t>) anchor-to-anchor span, which modulates the node-node separation and the pore size; (</w:t>
      </w:r>
      <w:r w:rsidRPr="00B73D7F">
        <w:rPr>
          <w:rFonts w:ascii="Libertinus Sans" w:hAnsi="Libertinus Sans" w:cs="Libertinus Sans"/>
          <w:b/>
          <w:bCs/>
          <w:kern w:val="0"/>
          <w:szCs w:val="22"/>
          <w:lang w:val="en-US"/>
        </w:rPr>
        <w:t>ii</w:t>
      </w:r>
      <w:r>
        <w:rPr>
          <w:rFonts w:ascii="Libertinus Sans" w:hAnsi="Libertinus Sans" w:cs="Libertinus Sans"/>
          <w:kern w:val="0"/>
          <w:szCs w:val="22"/>
          <w:lang w:val="en-US"/>
        </w:rPr>
        <w:t>) molecular weight, which controls framework density; (</w:t>
      </w:r>
      <w:r w:rsidRPr="005A216C">
        <w:rPr>
          <w:rFonts w:ascii="Libertinus Sans" w:hAnsi="Libertinus Sans" w:cs="Libertinus Sans"/>
          <w:b/>
          <w:bCs/>
          <w:kern w:val="0"/>
          <w:szCs w:val="22"/>
          <w:lang w:val="en-US"/>
        </w:rPr>
        <w:t>iii</w:t>
      </w:r>
      <w:r>
        <w:rPr>
          <w:rFonts w:ascii="Libertinus Sans" w:hAnsi="Libertinus Sans" w:cs="Libertinus Sans"/>
          <w:kern w:val="0"/>
          <w:szCs w:val="22"/>
          <w:lang w:val="en-US"/>
        </w:rPr>
        <w:t>) rigidity, which impacts disorder and framework collapse; and (</w:t>
      </w:r>
      <w:r w:rsidRPr="005A216C">
        <w:rPr>
          <w:rFonts w:ascii="Libertinus Sans" w:hAnsi="Libertinus Sans" w:cs="Libertinus Sans"/>
          <w:b/>
          <w:bCs/>
          <w:kern w:val="0"/>
          <w:szCs w:val="22"/>
          <w:lang w:val="en-US"/>
        </w:rPr>
        <w:t>iv</w:t>
      </w:r>
      <w:r>
        <w:rPr>
          <w:rFonts w:ascii="Libertinus Sans" w:hAnsi="Libertinus Sans" w:cs="Libertinus Sans"/>
          <w:kern w:val="0"/>
          <w:szCs w:val="22"/>
          <w:lang w:val="en-US"/>
        </w:rPr>
        <w:t xml:space="preserve">) linker symmetry, which impacts the packing efficiency.  </w:t>
      </w:r>
    </w:p>
    <w:p w14:paraId="3080A025" w14:textId="77777777" w:rsidR="001A3333" w:rsidRDefault="001A3333" w:rsidP="001A3333">
      <w:pPr>
        <w:autoSpaceDE w:val="0"/>
        <w:autoSpaceDN w:val="0"/>
        <w:adjustRightInd w:val="0"/>
        <w:spacing w:after="60" w:line="276" w:lineRule="auto"/>
        <w:jc w:val="both"/>
        <w:rPr>
          <w:rFonts w:ascii="Libertinus Sans" w:hAnsi="Libertinus Sans" w:cs="Libertinus Sans"/>
          <w:kern w:val="0"/>
          <w:szCs w:val="22"/>
          <w:lang w:val="en-US"/>
        </w:rPr>
      </w:pPr>
      <w:r>
        <w:rPr>
          <w:rFonts w:ascii="Libertinus Sans" w:hAnsi="Libertinus Sans" w:cs="Libertinus Sans"/>
          <w:kern w:val="0"/>
          <w:szCs w:val="22"/>
          <w:lang w:val="en-US"/>
        </w:rPr>
        <w:tab/>
        <w:t xml:space="preserve">Starting with </w:t>
      </w:r>
      <w:r w:rsidRPr="00FD47AC">
        <w:rPr>
          <w:rFonts w:ascii="Libertinus Sans" w:hAnsi="Libertinus Sans" w:cs="Libertinus Sans"/>
          <w:b/>
          <w:bCs/>
          <w:kern w:val="0"/>
          <w:szCs w:val="22"/>
          <w:lang w:val="en-US"/>
        </w:rPr>
        <w:t>gravimetric storage</w:t>
      </w:r>
      <w:r>
        <w:rPr>
          <w:rFonts w:ascii="Libertinus Sans" w:hAnsi="Libertinus Sans" w:cs="Libertinus Sans"/>
          <w:kern w:val="0"/>
          <w:szCs w:val="22"/>
          <w:lang w:val="en-US"/>
        </w:rPr>
        <w:t>, the capacity benefits by maximizing accessible void volume per unit mass. To approximate this at the linker-level, we define a mass-normalized span descriptor as:</w:t>
      </w:r>
    </w:p>
    <w:p w14:paraId="518C8B0D" w14:textId="77777777" w:rsidR="001A3333" w:rsidRPr="00FD47AC" w:rsidRDefault="00A3035B"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m:oMathPara>
        <m:oMath>
          <m:sSub>
            <m:sSubPr>
              <m:ctrlPr>
                <w:rPr>
                  <w:rFonts w:ascii="Cambria Math" w:hAnsi="Cambria Math" w:cs="Libertinus Sans"/>
                  <w:i/>
                  <w:kern w:val="0"/>
                  <w:szCs w:val="22"/>
                  <w:lang w:val="en-US"/>
                </w:rPr>
              </m:ctrlPr>
            </m:sSubPr>
            <m:e>
              <m:r>
                <w:rPr>
                  <w:rFonts w:ascii="Cambria Math" w:hAnsi="Cambria Math" w:cs="Libertinus Sans"/>
                  <w:kern w:val="0"/>
                  <w:szCs w:val="22"/>
                  <w:lang w:val="en-US"/>
                </w:rPr>
                <m:t>d</m:t>
              </m:r>
            </m:e>
            <m:sub>
              <m:r>
                <w:rPr>
                  <w:rFonts w:ascii="Cambria Math" w:hAnsi="Cambria Math" w:cs="Libertinus Sans"/>
                  <w:kern w:val="0"/>
                  <w:szCs w:val="22"/>
                  <w:lang w:val="en-US"/>
                </w:rPr>
                <m:t>mass</m:t>
              </m:r>
              <m:r>
                <w:rPr>
                  <w:rFonts w:ascii="Cambria Math" w:hAnsi="Cambria Math" w:cs="Libertinus Sans"/>
                  <w:kern w:val="0"/>
                  <w:szCs w:val="22"/>
                  <w:lang w:val="en-US"/>
                </w:rPr>
                <m:t>-</m:t>
              </m:r>
              <m:r>
                <w:rPr>
                  <w:rFonts w:ascii="Cambria Math" w:hAnsi="Cambria Math" w:cs="Libertinus Sans"/>
                  <w:kern w:val="0"/>
                  <w:szCs w:val="22"/>
                  <w:lang w:val="en-US"/>
                </w:rPr>
                <m:t>norm</m:t>
              </m:r>
              <m:r>
                <w:rPr>
                  <w:rFonts w:ascii="Cambria Math" w:hAnsi="Cambria Math" w:cs="Libertinus Sans"/>
                  <w:kern w:val="0"/>
                  <w:szCs w:val="22"/>
                  <w:lang w:val="en-US"/>
                </w:rPr>
                <m:t>-</m:t>
              </m:r>
              <m:r>
                <w:rPr>
                  <w:rFonts w:ascii="Cambria Math" w:hAnsi="Cambria Math" w:cs="Libertinus Sans"/>
                  <w:kern w:val="0"/>
                  <w:szCs w:val="22"/>
                  <w:lang w:val="en-US"/>
                </w:rPr>
                <m:t>span</m:t>
              </m:r>
            </m:sub>
          </m:sSub>
          <m:r>
            <w:rPr>
              <w:rFonts w:ascii="Cambria Math" w:hAnsi="Cambria Math" w:cs="Libertinus Sans"/>
              <w:kern w:val="0"/>
              <w:szCs w:val="22"/>
              <w:lang w:val="en-US"/>
            </w:rPr>
            <m:t>=</m:t>
          </m:r>
          <m:f>
            <m:fPr>
              <m:ctrlPr>
                <w:rPr>
                  <w:rFonts w:ascii="Cambria Math" w:hAnsi="Cambria Math" w:cs="Libertinus Sans"/>
                  <w:kern w:val="0"/>
                  <w:szCs w:val="22"/>
                  <w:lang w:val="en-US"/>
                </w:rPr>
              </m:ctrlPr>
            </m:fPr>
            <m:num>
              <m:sSub>
                <m:sSubPr>
                  <m:ctrlPr>
                    <w:rPr>
                      <w:rFonts w:ascii="Cambria Math" w:hAnsi="Cambria Math" w:cs="Libertinus Sans"/>
                      <w:i/>
                      <w:kern w:val="0"/>
                      <w:szCs w:val="22"/>
                      <w:lang w:val="en-US"/>
                    </w:rPr>
                  </m:ctrlPr>
                </m:sSubPr>
                <m:e>
                  <m:r>
                    <w:rPr>
                      <w:rFonts w:ascii="Cambria Math" w:hAnsi="Cambria Math" w:cs="Libertinus Sans"/>
                      <w:kern w:val="0"/>
                      <w:szCs w:val="22"/>
                      <w:lang w:val="en-US"/>
                    </w:rPr>
                    <m:t>d</m:t>
                  </m:r>
                </m:e>
                <m:sub>
                  <m:r>
                    <w:rPr>
                      <w:rFonts w:ascii="Cambria Math" w:hAnsi="Cambria Math" w:cs="Libertinus Sans"/>
                      <w:kern w:val="0"/>
                      <w:szCs w:val="22"/>
                      <w:lang w:val="en-US"/>
                    </w:rPr>
                    <m:t>anc</m:t>
                  </m:r>
                  <m:r>
                    <w:rPr>
                      <w:rFonts w:ascii="Cambria Math" w:hAnsi="Cambria Math" w:cs="Libertinus Sans"/>
                      <w:kern w:val="0"/>
                      <w:szCs w:val="22"/>
                      <w:lang w:val="en-US"/>
                    </w:rPr>
                    <m:t>h</m:t>
                  </m:r>
                  <m:r>
                    <w:rPr>
                      <w:rFonts w:ascii="Cambria Math" w:hAnsi="Cambria Math" w:cs="Libertinus Sans"/>
                      <w:kern w:val="0"/>
                      <w:szCs w:val="22"/>
                      <w:lang w:val="en-US"/>
                    </w:rPr>
                    <m:t>or</m:t>
                  </m:r>
                  <m:r>
                    <w:rPr>
                      <w:rFonts w:ascii="Cambria Math" w:hAnsi="Cambria Math" w:cs="Libertinus Sans"/>
                      <w:kern w:val="0"/>
                      <w:szCs w:val="22"/>
                      <w:lang w:val="en-US"/>
                    </w:rPr>
                    <m:t>-</m:t>
                  </m:r>
                  <m:r>
                    <w:rPr>
                      <w:rFonts w:ascii="Cambria Math" w:hAnsi="Cambria Math" w:cs="Libertinus Sans"/>
                      <w:kern w:val="0"/>
                      <w:szCs w:val="22"/>
                      <w:lang w:val="en-US"/>
                    </w:rPr>
                    <m:t>anc</m:t>
                  </m:r>
                  <m:r>
                    <w:rPr>
                      <w:rFonts w:ascii="Cambria Math" w:hAnsi="Cambria Math" w:cs="Libertinus Sans"/>
                      <w:kern w:val="0"/>
                      <w:szCs w:val="22"/>
                      <w:lang w:val="en-US"/>
                    </w:rPr>
                    <m:t>h</m:t>
                  </m:r>
                  <m:r>
                    <w:rPr>
                      <w:rFonts w:ascii="Cambria Math" w:hAnsi="Cambria Math" w:cs="Libertinus Sans"/>
                      <w:kern w:val="0"/>
                      <w:szCs w:val="22"/>
                      <w:lang w:val="en-US"/>
                    </w:rPr>
                    <m:t>or</m:t>
                  </m:r>
                </m:sub>
              </m:sSub>
              <m:ctrlPr>
                <w:rPr>
                  <w:rFonts w:ascii="Cambria Math" w:hAnsi="Cambria Math" w:cs="Libertinus Sans"/>
                  <w:i/>
                  <w:kern w:val="0"/>
                  <w:szCs w:val="22"/>
                  <w:lang w:val="en-US"/>
                </w:rPr>
              </m:ctrlPr>
            </m:num>
            <m:den>
              <m:r>
                <w:rPr>
                  <w:rFonts w:ascii="Cambria Math" w:hAnsi="Cambria Math" w:cs="Libertinus Sans"/>
                  <w:kern w:val="0"/>
                  <w:szCs w:val="22"/>
                  <w:lang w:val="en-US"/>
                </w:rPr>
                <m:t>MW</m:t>
              </m:r>
              <m:ctrlPr>
                <w:rPr>
                  <w:rFonts w:ascii="Cambria Math" w:hAnsi="Cambria Math" w:cs="Libertinus Sans"/>
                  <w:i/>
                  <w:kern w:val="0"/>
                  <w:szCs w:val="22"/>
                  <w:lang w:val="en-US"/>
                </w:rPr>
              </m:ctrlPr>
            </m:den>
          </m:f>
        </m:oMath>
      </m:oMathPara>
    </w:p>
    <w:p w14:paraId="17BF42DF"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hAnsi="Libertinus Sans" w:cs="Libertinus Sans"/>
          <w:kern w:val="0"/>
          <w:szCs w:val="22"/>
          <w:lang w:val="en-US"/>
        </w:rPr>
        <w:t xml:space="preserve">Where, </w:t>
      </w:r>
      <m:oMath>
        <m:sSub>
          <m:sSubPr>
            <m:ctrlPr>
              <w:rPr>
                <w:rFonts w:ascii="Cambria Math" w:hAnsi="Cambria Math" w:cs="Libertinus Sans"/>
                <w:i/>
                <w:kern w:val="0"/>
                <w:szCs w:val="22"/>
                <w:lang w:val="en-US"/>
              </w:rPr>
            </m:ctrlPr>
          </m:sSubPr>
          <m:e>
            <m:r>
              <w:rPr>
                <w:rFonts w:ascii="Cambria Math" w:hAnsi="Cambria Math" w:cs="Libertinus Sans"/>
                <w:kern w:val="0"/>
                <w:szCs w:val="22"/>
                <w:lang w:val="en-US"/>
              </w:rPr>
              <m:t>d</m:t>
            </m:r>
          </m:e>
          <m:sub>
            <m:r>
              <w:rPr>
                <w:rFonts w:ascii="Cambria Math" w:hAnsi="Cambria Math" w:cs="Libertinus Sans"/>
                <w:kern w:val="0"/>
                <w:szCs w:val="22"/>
                <w:lang w:val="en-US"/>
              </w:rPr>
              <m:t>anchor-anchor</m:t>
            </m:r>
          </m:sub>
        </m:sSub>
      </m:oMath>
      <w:r>
        <w:rPr>
          <w:rFonts w:ascii="Libertinus Sans" w:eastAsiaTheme="minorEastAsia" w:hAnsi="Libertinus Sans" w:cs="Libertinus Sans"/>
          <w:kern w:val="0"/>
          <w:szCs w:val="22"/>
          <w:lang w:val="en-US"/>
        </w:rPr>
        <w:t xml:space="preserve"> is the maximum anchor – anchor distance and </w:t>
      </w:r>
      <m:oMath>
        <m:r>
          <w:rPr>
            <w:rFonts w:ascii="Cambria Math" w:eastAsiaTheme="minorEastAsia" w:hAnsi="Cambria Math" w:cs="Libertinus Sans"/>
            <w:kern w:val="0"/>
            <w:szCs w:val="22"/>
            <w:lang w:val="en-US"/>
          </w:rPr>
          <m:t>MW</m:t>
        </m:r>
      </m:oMath>
      <w:r>
        <w:rPr>
          <w:rFonts w:ascii="Libertinus Sans" w:eastAsiaTheme="minorEastAsia" w:hAnsi="Libertinus Sans" w:cs="Libertinus Sans"/>
          <w:kern w:val="0"/>
          <w:szCs w:val="22"/>
          <w:lang w:val="en-US"/>
        </w:rPr>
        <w:t xml:space="preserve"> is the molecular weight of the linker (excluding anchors). </w:t>
      </w:r>
      <m:oMath>
        <m:sSub>
          <m:sSubPr>
            <m:ctrlPr>
              <w:rPr>
                <w:rFonts w:ascii="Cambria Math" w:hAnsi="Cambria Math" w:cs="Libertinus Sans"/>
                <w:i/>
                <w:kern w:val="0"/>
                <w:szCs w:val="22"/>
                <w:lang w:val="en-US"/>
              </w:rPr>
            </m:ctrlPr>
          </m:sSubPr>
          <m:e>
            <m:r>
              <w:rPr>
                <w:rFonts w:ascii="Cambria Math" w:hAnsi="Cambria Math" w:cs="Libertinus Sans"/>
                <w:kern w:val="0"/>
                <w:szCs w:val="22"/>
                <w:lang w:val="en-US"/>
              </w:rPr>
              <m:t>d</m:t>
            </m:r>
          </m:e>
          <m:sub>
            <m:r>
              <w:rPr>
                <w:rFonts w:ascii="Cambria Math" w:hAnsi="Cambria Math" w:cs="Libertinus Sans"/>
                <w:kern w:val="0"/>
                <w:szCs w:val="22"/>
                <w:lang w:val="en-US"/>
              </w:rPr>
              <m:t>mass-norm-span</m:t>
            </m:r>
          </m:sub>
        </m:sSub>
      </m:oMath>
      <w:r>
        <w:rPr>
          <w:rFonts w:ascii="Libertinus Sans" w:eastAsiaTheme="minorEastAsia" w:hAnsi="Libertinus Sans" w:cs="Libertinus Sans"/>
          <w:kern w:val="0"/>
          <w:szCs w:val="22"/>
          <w:lang w:val="en-US"/>
        </w:rPr>
        <w:t xml:space="preserve"> serves as a proxy for </w:t>
      </w:r>
      <w:r w:rsidRPr="00A97167">
        <w:rPr>
          <w:rFonts w:ascii="Libertinus Sans" w:eastAsiaTheme="minorEastAsia" w:hAnsi="Libertinus Sans" w:cs="Libertinus Sans"/>
          <w:kern w:val="0"/>
          <w:szCs w:val="22"/>
          <w:lang w:val="en-US"/>
        </w:rPr>
        <w:t>structural expansion per unit mass</w:t>
      </w:r>
      <w:r>
        <w:rPr>
          <w:rFonts w:ascii="Libertinus Sans" w:eastAsiaTheme="minorEastAsia" w:hAnsi="Libertinus Sans" w:cs="Libertinus Sans"/>
          <w:kern w:val="0"/>
          <w:szCs w:val="22"/>
          <w:lang w:val="en-US"/>
        </w:rPr>
        <w:t>.  This proxy</w:t>
      </w:r>
      <w:r w:rsidR="00B32BB9">
        <w:rPr>
          <w:rFonts w:ascii="Libertinus Sans" w:eastAsiaTheme="minorEastAsia" w:hAnsi="Libertinus Sans" w:cs="Libertinus Sans"/>
          <w:kern w:val="0"/>
          <w:szCs w:val="22"/>
          <w:lang w:val="en-US"/>
        </w:rPr>
        <w:t xml:space="preserve"> – which is intended as a purely relative descriptor – </w:t>
      </w:r>
      <w:r>
        <w:rPr>
          <w:rFonts w:ascii="Libertinus Sans" w:eastAsiaTheme="minorEastAsia" w:hAnsi="Libertinus Sans" w:cs="Libertinus Sans"/>
          <w:kern w:val="0"/>
          <w:szCs w:val="22"/>
          <w:lang w:val="en-US"/>
        </w:rPr>
        <w:t xml:space="preserve">biases generation towards longer, lightweight linkers. At the same time, such linkers tend to exhibit a high-degree of flexibility, which makes ultraporous frameworks susceptible to potential pore collapse. We therefore introduce a second descriptor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rigidity</m:t>
            </m:r>
          </m:sub>
        </m:sSub>
      </m:oMath>
      <w:r>
        <w:rPr>
          <w:rFonts w:ascii="Libertinus Sans" w:eastAsiaTheme="minorEastAsia" w:hAnsi="Libertinus Sans" w:cs="Libertinus Sans"/>
          <w:kern w:val="0"/>
          <w:szCs w:val="22"/>
          <w:lang w:val="en-US"/>
        </w:rPr>
        <w:t xml:space="preserve"> that penalizes flexible linkers that may promote framework collapse. The rigidity proxy is defined as follows:</w:t>
      </w:r>
    </w:p>
    <w:p w14:paraId="1F7533FD" w14:textId="77777777" w:rsidR="001A3333" w:rsidRDefault="00A3035B"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m:oMathPara>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rigidity</m:t>
              </m:r>
            </m:sub>
          </m:sSub>
          <m:r>
            <w:rPr>
              <w:rFonts w:ascii="Cambria Math" w:eastAsiaTheme="minorEastAsia" w:hAnsi="Cambria Math" w:cs="Libertinus Sans"/>
              <w:kern w:val="0"/>
              <w:szCs w:val="22"/>
              <w:lang w:val="en-US"/>
            </w:rPr>
            <m:t>=0.5</m:t>
          </m:r>
          <m:r>
            <m:rPr>
              <m:sty m:val="p"/>
            </m:rPr>
            <w:rPr>
              <w:rFonts w:ascii="Cambria Math" w:eastAsiaTheme="minorEastAsia" w:hAnsi="Cambria Math" w:cs="Libertinus Sans"/>
              <w:kern w:val="0"/>
              <w:szCs w:val="22"/>
              <w:lang w:val="en-US"/>
            </w:rPr>
            <m:t>×</m:t>
          </m:r>
          <m:r>
            <w:rPr>
              <w:rFonts w:ascii="Cambria Math" w:eastAsiaTheme="minorEastAsia" w:hAnsi="Cambria Math" w:cs="Libertinus Sans"/>
              <w:kern w:val="0"/>
              <w:szCs w:val="22"/>
              <w:lang w:val="en-US"/>
            </w:rPr>
            <m:t>RBC</m:t>
          </m:r>
          <m:r>
            <w:rPr>
              <w:rFonts w:ascii="Cambria Math" w:eastAsiaTheme="minorEastAsia" w:hAnsi="Cambria Math" w:cs="Libertinus Sans"/>
              <w:kern w:val="0"/>
              <w:szCs w:val="22"/>
              <w:lang w:val="en-US"/>
            </w:rPr>
            <m:t>+0.5</m:t>
          </m:r>
          <m:r>
            <m:rPr>
              <m:sty m:val="p"/>
            </m:rP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N</m:t>
              </m:r>
              <m:ctrlPr>
                <w:rPr>
                  <w:rFonts w:ascii="Cambria Math" w:eastAsiaTheme="minorEastAsia" w:hAnsi="Cambria Math" w:cs="Libertinus Sans"/>
                  <w:kern w:val="0"/>
                  <w:szCs w:val="22"/>
                  <w:lang w:val="en-US"/>
                </w:rPr>
              </m:ctrlPr>
            </m:e>
            <m:sub>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C</m:t>
                  </m:r>
                </m:e>
                <m:sub>
                  <m:r>
                    <w:rPr>
                      <w:rFonts w:ascii="Cambria Math" w:eastAsiaTheme="minorEastAsia" w:hAnsi="Cambria Math" w:cs="Libertinus Sans"/>
                      <w:kern w:val="0"/>
                      <w:szCs w:val="22"/>
                      <w:lang w:val="en-US"/>
                    </w:rPr>
                    <m:t>s</m:t>
                  </m:r>
                  <m:sSup>
                    <m:sSupPr>
                      <m:ctrlPr>
                        <w:rPr>
                          <w:rFonts w:ascii="Cambria Math" w:eastAsiaTheme="minorEastAsia" w:hAnsi="Cambria Math" w:cs="Libertinus Sans"/>
                          <w:i/>
                          <w:kern w:val="0"/>
                          <w:szCs w:val="22"/>
                          <w:lang w:val="en-US"/>
                        </w:rPr>
                      </m:ctrlPr>
                    </m:sSupPr>
                    <m:e>
                      <m:r>
                        <w:rPr>
                          <w:rFonts w:ascii="Cambria Math" w:eastAsiaTheme="minorEastAsia" w:hAnsi="Cambria Math" w:cs="Libertinus Sans"/>
                          <w:kern w:val="0"/>
                          <w:szCs w:val="22"/>
                          <w:lang w:val="en-US"/>
                        </w:rPr>
                        <m:t>p</m:t>
                      </m:r>
                    </m:e>
                    <m:sup>
                      <m:r>
                        <w:rPr>
                          <w:rFonts w:ascii="Cambria Math" w:eastAsiaTheme="minorEastAsia" w:hAnsi="Cambria Math" w:cs="Libertinus Sans"/>
                          <w:kern w:val="0"/>
                          <w:szCs w:val="22"/>
                          <w:lang w:val="en-US"/>
                        </w:rPr>
                        <m:t>3</m:t>
                      </m:r>
                    </m:sup>
                  </m:sSup>
                </m:sub>
              </m:sSub>
            </m:sub>
          </m:sSub>
        </m:oMath>
      </m:oMathPara>
    </w:p>
    <w:p w14:paraId="6E58359E"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eastAsiaTheme="minorEastAsia" w:hAnsi="Libertinus Sans" w:cs="Libertinus Sans"/>
          <w:kern w:val="0"/>
          <w:szCs w:val="22"/>
          <w:lang w:val="en-US"/>
        </w:rPr>
        <w:t xml:space="preserve">Where, </w:t>
      </w:r>
      <m:oMath>
        <m:r>
          <w:rPr>
            <w:rFonts w:ascii="Cambria Math" w:eastAsiaTheme="minorEastAsia" w:hAnsi="Cambria Math" w:cs="Libertinus Sans"/>
            <w:kern w:val="0"/>
            <w:szCs w:val="22"/>
            <w:lang w:val="en-US"/>
          </w:rPr>
          <m:t>RBC</m:t>
        </m:r>
      </m:oMath>
      <w:r>
        <w:rPr>
          <w:rFonts w:ascii="Libertinus Sans" w:eastAsiaTheme="minorEastAsia" w:hAnsi="Libertinus Sans" w:cs="Libertinus Sans"/>
          <w:kern w:val="0"/>
          <w:szCs w:val="22"/>
          <w:lang w:val="en-US"/>
        </w:rPr>
        <w:t xml:space="preserve"> is </w:t>
      </w:r>
      <w:r w:rsidR="00E65C01">
        <w:rPr>
          <w:rFonts w:ascii="Libertinus Sans" w:eastAsiaTheme="minorEastAsia" w:hAnsi="Libertinus Sans" w:cs="Libertinus Sans"/>
          <w:kern w:val="0"/>
          <w:szCs w:val="22"/>
          <w:lang w:val="en-US"/>
        </w:rPr>
        <w:t xml:space="preserve">the fraction of the rotatable bonds </w:t>
      </w:r>
      <w:r>
        <w:rPr>
          <w:rFonts w:ascii="Libertinus Sans" w:eastAsiaTheme="minorEastAsia" w:hAnsi="Libertinus Sans" w:cs="Libertinus Sans"/>
          <w:kern w:val="0"/>
          <w:szCs w:val="22"/>
          <w:lang w:val="en-US"/>
        </w:rPr>
        <w:t xml:space="preserve">in the linker and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N</m:t>
            </m:r>
          </m:e>
          <m:sub>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C</m:t>
                </m:r>
              </m:e>
              <m:sub>
                <m:r>
                  <w:rPr>
                    <w:rFonts w:ascii="Cambria Math" w:eastAsiaTheme="minorEastAsia" w:hAnsi="Cambria Math" w:cs="Libertinus Sans"/>
                    <w:kern w:val="0"/>
                    <w:szCs w:val="22"/>
                    <w:lang w:val="en-US"/>
                  </w:rPr>
                  <m:t>s</m:t>
                </m:r>
                <m:sSup>
                  <m:sSupPr>
                    <m:ctrlPr>
                      <w:rPr>
                        <w:rFonts w:ascii="Cambria Math" w:eastAsiaTheme="minorEastAsia" w:hAnsi="Cambria Math" w:cs="Libertinus Sans"/>
                        <w:i/>
                        <w:kern w:val="0"/>
                        <w:szCs w:val="22"/>
                        <w:lang w:val="en-US"/>
                      </w:rPr>
                    </m:ctrlPr>
                  </m:sSupPr>
                  <m:e>
                    <m:r>
                      <w:rPr>
                        <w:rFonts w:ascii="Cambria Math" w:eastAsiaTheme="minorEastAsia" w:hAnsi="Cambria Math" w:cs="Libertinus Sans"/>
                        <w:kern w:val="0"/>
                        <w:szCs w:val="22"/>
                        <w:lang w:val="en-US"/>
                      </w:rPr>
                      <m:t>p</m:t>
                    </m:r>
                  </m:e>
                  <m:sup>
                    <m:r>
                      <w:rPr>
                        <w:rFonts w:ascii="Cambria Math" w:eastAsiaTheme="minorEastAsia" w:hAnsi="Cambria Math" w:cs="Libertinus Sans"/>
                        <w:kern w:val="0"/>
                        <w:szCs w:val="22"/>
                        <w:lang w:val="en-US"/>
                      </w:rPr>
                      <m:t>3</m:t>
                    </m:r>
                  </m:sup>
                </m:sSup>
              </m:sub>
            </m:sSub>
          </m:sub>
        </m:sSub>
      </m:oMath>
      <w:r>
        <w:rPr>
          <w:rFonts w:ascii="Libertinus Sans" w:eastAsiaTheme="minorEastAsia" w:hAnsi="Libertinus Sans" w:cs="Libertinus Sans"/>
          <w:kern w:val="0"/>
          <w:szCs w:val="22"/>
          <w:lang w:val="en-US"/>
        </w:rPr>
        <w:t xml:space="preserve">is </w:t>
      </w:r>
      <w:r w:rsidR="00E65C01">
        <w:rPr>
          <w:rFonts w:ascii="Libertinus Sans" w:eastAsiaTheme="minorEastAsia" w:hAnsi="Libertinus Sans" w:cs="Libertinus Sans"/>
          <w:kern w:val="0"/>
          <w:szCs w:val="22"/>
          <w:lang w:val="en-US"/>
        </w:rPr>
        <w:t xml:space="preserve">the fraction </w:t>
      </w:r>
      <w:r>
        <w:rPr>
          <w:rFonts w:ascii="Libertinus Sans" w:eastAsiaTheme="minorEastAsia" w:hAnsi="Libertinus Sans" w:cs="Libertinus Sans"/>
          <w:kern w:val="0"/>
          <w:szCs w:val="22"/>
          <w:lang w:val="en-US"/>
        </w:rPr>
        <w:t xml:space="preserve">of </w:t>
      </w:r>
      <m:oMath>
        <m:r>
          <w:rPr>
            <w:rFonts w:ascii="Cambria Math" w:eastAsiaTheme="minorEastAsia" w:hAnsi="Cambria Math" w:cs="Libertinus Sans"/>
            <w:kern w:val="0"/>
            <w:szCs w:val="22"/>
            <w:lang w:val="en-US"/>
          </w:rPr>
          <m:t>s</m:t>
        </m:r>
        <m:sSup>
          <m:sSupPr>
            <m:ctrlPr>
              <w:rPr>
                <w:rFonts w:ascii="Cambria Math" w:eastAsiaTheme="minorEastAsia" w:hAnsi="Cambria Math" w:cs="Libertinus Sans"/>
                <w:i/>
                <w:kern w:val="0"/>
                <w:szCs w:val="22"/>
                <w:lang w:val="en-US"/>
              </w:rPr>
            </m:ctrlPr>
          </m:sSupPr>
          <m:e>
            <m:r>
              <w:rPr>
                <w:rFonts w:ascii="Cambria Math" w:eastAsiaTheme="minorEastAsia" w:hAnsi="Cambria Math" w:cs="Libertinus Sans"/>
                <w:kern w:val="0"/>
                <w:szCs w:val="22"/>
                <w:lang w:val="en-US"/>
              </w:rPr>
              <m:t>p</m:t>
            </m:r>
          </m:e>
          <m:sup>
            <m:r>
              <w:rPr>
                <w:rFonts w:ascii="Cambria Math" w:eastAsiaTheme="minorEastAsia" w:hAnsi="Cambria Math" w:cs="Libertinus Sans"/>
                <w:kern w:val="0"/>
                <w:szCs w:val="22"/>
                <w:lang w:val="en-US"/>
              </w:rPr>
              <m:t>3</m:t>
            </m:r>
          </m:sup>
        </m:sSup>
      </m:oMath>
      <w:r>
        <w:rPr>
          <w:rFonts w:ascii="Libertinus Sans" w:eastAsiaTheme="minorEastAsia" w:hAnsi="Libertinus Sans" w:cs="Libertinus Sans"/>
          <w:kern w:val="0"/>
          <w:szCs w:val="22"/>
          <w:lang w:val="en-US"/>
        </w:rPr>
        <w:t xml:space="preserve"> Carbons in the linker. Put together, the gravimetric reward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oMath>
      <w:r>
        <w:rPr>
          <w:rFonts w:ascii="Libertinus Sans" w:eastAsiaTheme="minorEastAsia" w:hAnsi="Libertinus Sans" w:cs="Libertinus Sans"/>
          <w:kern w:val="0"/>
          <w:szCs w:val="22"/>
          <w:lang w:val="en-US"/>
        </w:rPr>
        <w:t>) is defined as follows:</w:t>
      </w:r>
    </w:p>
    <w:p w14:paraId="490DDDE4" w14:textId="77777777" w:rsidR="001A3333" w:rsidRPr="00133818" w:rsidRDefault="00A3035B"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m:oMathPara>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α</m:t>
              </m:r>
            </m:e>
            <m:sub>
              <m:r>
                <w:rPr>
                  <w:rFonts w:ascii="Cambria Math" w:eastAsiaTheme="minorEastAsia" w:hAnsi="Cambria Math" w:cs="Libertinus Sans"/>
                  <w:kern w:val="0"/>
                  <w:szCs w:val="22"/>
                  <w:lang w:val="en-US"/>
                </w:rPr>
                <m:t>1</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anc</m:t>
                  </m:r>
                  <m:r>
                    <w:rPr>
                      <w:rFonts w:ascii="Cambria Math" w:eastAsiaTheme="minorEastAsia" w:hAnsi="Cambria Math" w:cs="Libertinus Sans"/>
                      <w:kern w:val="0"/>
                      <w:szCs w:val="22"/>
                      <w:lang w:val="en-US"/>
                    </w:rPr>
                    <m:t>h</m:t>
                  </m:r>
                  <m:r>
                    <w:rPr>
                      <w:rFonts w:ascii="Cambria Math" w:eastAsiaTheme="minorEastAsia" w:hAnsi="Cambria Math" w:cs="Libertinus Sans"/>
                      <w:kern w:val="0"/>
                      <w:szCs w:val="22"/>
                      <w:lang w:val="en-US"/>
                    </w:rPr>
                    <m:t>or</m:t>
                  </m:r>
                  <m:r>
                    <w:rPr>
                      <w:rFonts w:ascii="Cambria Math" w:eastAsiaTheme="minorEastAsia" w:hAnsi="Cambria Math" w:cs="Libertinus Sans"/>
                      <w:kern w:val="0"/>
                      <w:szCs w:val="22"/>
                      <w:lang w:val="en-US"/>
                    </w:rPr>
                    <m:t>-</m:t>
                  </m:r>
                  <m:r>
                    <w:rPr>
                      <w:rFonts w:ascii="Cambria Math" w:eastAsiaTheme="minorEastAsia" w:hAnsi="Cambria Math" w:cs="Libertinus Sans"/>
                      <w:kern w:val="0"/>
                      <w:szCs w:val="22"/>
                      <w:lang w:val="en-US"/>
                    </w:rPr>
                    <m:t>anc</m:t>
                  </m:r>
                  <m:r>
                    <w:rPr>
                      <w:rFonts w:ascii="Cambria Math" w:eastAsiaTheme="minorEastAsia" w:hAnsi="Cambria Math" w:cs="Libertinus Sans"/>
                      <w:kern w:val="0"/>
                      <w:szCs w:val="22"/>
                      <w:lang w:val="en-US"/>
                    </w:rPr>
                    <m:t>h</m:t>
                  </m:r>
                  <m:r>
                    <w:rPr>
                      <w:rFonts w:ascii="Cambria Math" w:eastAsiaTheme="minorEastAsia" w:hAnsi="Cambria Math" w:cs="Libertinus Sans"/>
                      <w:kern w:val="0"/>
                      <w:szCs w:val="22"/>
                      <w:lang w:val="en-US"/>
                    </w:rPr>
                    <m:t>or</m:t>
                  </m:r>
                </m:sub>
              </m:sSub>
            </m:e>
          </m:d>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α</m:t>
              </m:r>
            </m:e>
            <m:sub>
              <m:r>
                <w:rPr>
                  <w:rFonts w:ascii="Cambria Math" w:eastAsiaTheme="minorEastAsia" w:hAnsi="Cambria Math" w:cs="Libertinus Sans"/>
                  <w:kern w:val="0"/>
                  <w:szCs w:val="22"/>
                  <w:lang w:val="en-US"/>
                </w:rPr>
                <m:t>2</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rigidity</m:t>
                  </m:r>
                </m:sub>
              </m:sSub>
            </m:e>
          </m:d>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α</m:t>
              </m:r>
            </m:e>
            <m:sub>
              <m:r>
                <w:rPr>
                  <w:rFonts w:ascii="Cambria Math" w:eastAsiaTheme="minorEastAsia" w:hAnsi="Cambria Math" w:cs="Libertinus Sans"/>
                  <w:kern w:val="0"/>
                  <w:szCs w:val="22"/>
                  <w:lang w:val="en-US"/>
                </w:rPr>
                <m:t>3</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mass</m:t>
                  </m:r>
                  <m:r>
                    <w:rPr>
                      <w:rFonts w:ascii="Cambria Math" w:eastAsiaTheme="minorEastAsia" w:hAnsi="Cambria Math" w:cs="Libertinus Sans"/>
                      <w:kern w:val="0"/>
                      <w:szCs w:val="22"/>
                      <w:lang w:val="en-US"/>
                    </w:rPr>
                    <m:t>-</m:t>
                  </m:r>
                  <m:r>
                    <w:rPr>
                      <w:rFonts w:ascii="Cambria Math" w:eastAsiaTheme="minorEastAsia" w:hAnsi="Cambria Math" w:cs="Libertinus Sans"/>
                      <w:kern w:val="0"/>
                      <w:szCs w:val="22"/>
                      <w:lang w:val="en-US"/>
                    </w:rPr>
                    <m:t>norm</m:t>
                  </m:r>
                  <m:r>
                    <w:rPr>
                      <w:rFonts w:ascii="Cambria Math" w:eastAsiaTheme="minorEastAsia" w:hAnsi="Cambria Math" w:cs="Libertinus Sans"/>
                      <w:kern w:val="0"/>
                      <w:szCs w:val="22"/>
                      <w:lang w:val="en-US"/>
                    </w:rPr>
                    <m:t>-</m:t>
                  </m:r>
                  <m:r>
                    <w:rPr>
                      <w:rFonts w:ascii="Cambria Math" w:eastAsiaTheme="minorEastAsia" w:hAnsi="Cambria Math" w:cs="Libertinus Sans"/>
                      <w:kern w:val="0"/>
                      <w:szCs w:val="22"/>
                      <w:lang w:val="en-US"/>
                    </w:rPr>
                    <m:t>span</m:t>
                  </m:r>
                </m:sub>
              </m:sSub>
            </m:e>
          </m:d>
        </m:oMath>
      </m:oMathPara>
    </w:p>
    <w:p w14:paraId="34065875" w14:textId="77777777" w:rsidR="001A3333" w:rsidRDefault="003A527F"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sidRPr="00E13323">
        <w:rPr>
          <w:noProof/>
          <w:szCs w:val="22"/>
        </w:rPr>
        <mc:AlternateContent>
          <mc:Choice Requires="wps">
            <w:drawing>
              <wp:anchor distT="0" distB="0" distL="114300" distR="114300" simplePos="0" relativeHeight="251660288" behindDoc="0" locked="0" layoutInCell="1" allowOverlap="1" wp14:anchorId="4D4EC463" wp14:editId="798EB9B3">
                <wp:simplePos x="0" y="0"/>
                <wp:positionH relativeFrom="column">
                  <wp:posOffset>3124200</wp:posOffset>
                </wp:positionH>
                <wp:positionV relativeFrom="paragraph">
                  <wp:posOffset>2804795</wp:posOffset>
                </wp:positionV>
                <wp:extent cx="2857500" cy="942975"/>
                <wp:effectExtent l="0" t="0" r="0" b="0"/>
                <wp:wrapSquare wrapText="bothSides"/>
                <wp:docPr id="62883054" name="Text Box 1"/>
                <wp:cNvGraphicFramePr/>
                <a:graphic xmlns:a="http://schemas.openxmlformats.org/drawingml/2006/main">
                  <a:graphicData uri="http://schemas.microsoft.com/office/word/2010/wordprocessingShape">
                    <wps:wsp>
                      <wps:cNvSpPr txBox="1"/>
                      <wps:spPr>
                        <a:xfrm>
                          <a:off x="0" y="0"/>
                          <a:ext cx="2857500" cy="942975"/>
                        </a:xfrm>
                        <a:prstGeom prst="rect">
                          <a:avLst/>
                        </a:prstGeom>
                        <a:solidFill>
                          <a:prstClr val="white"/>
                        </a:solidFill>
                        <a:ln>
                          <a:noFill/>
                        </a:ln>
                      </wps:spPr>
                      <wps:txbx>
                        <w:txbxContent>
                          <w:p w14:paraId="261320F6" w14:textId="77777777" w:rsidR="001A3333" w:rsidRPr="0030682B" w:rsidRDefault="001A3333" w:rsidP="001A3333">
                            <w:pPr>
                              <w:pStyle w:val="Caption"/>
                              <w:spacing w:line="276" w:lineRule="auto"/>
                              <w:jc w:val="both"/>
                              <w:rPr>
                                <w:rFonts w:ascii="Libertinus Sans" w:hAnsi="Libertinus Sans" w:cs="Libertinus Sans"/>
                                <w:i w:val="0"/>
                                <w:iCs w:val="0"/>
                                <w:noProof/>
                                <w:color w:val="0070C0"/>
                                <w:kern w:val="0"/>
                              </w:rPr>
                            </w:pPr>
                            <w:r w:rsidRPr="0030682B">
                              <w:rPr>
                                <w:rFonts w:ascii="Libertinus Sans" w:hAnsi="Libertinus Sans" w:cs="Libertinus Sans"/>
                                <w:b/>
                                <w:bCs/>
                                <w:i w:val="0"/>
                                <w:iCs w:val="0"/>
                                <w:color w:val="0070C0"/>
                              </w:rPr>
                              <w:t>Figure F</w:t>
                            </w:r>
                            <w:r w:rsidRPr="0030682B">
                              <w:rPr>
                                <w:rFonts w:ascii="Libertinus Sans" w:hAnsi="Libertinus Sans" w:cs="Libertinus Sans"/>
                                <w:b/>
                                <w:bCs/>
                                <w:i w:val="0"/>
                                <w:iCs w:val="0"/>
                                <w:color w:val="0070C0"/>
                              </w:rPr>
                              <w:fldChar w:fldCharType="begin"/>
                            </w:r>
                            <w:r w:rsidRPr="0030682B">
                              <w:rPr>
                                <w:rFonts w:ascii="Libertinus Sans" w:hAnsi="Libertinus Sans" w:cs="Libertinus Sans"/>
                                <w:b/>
                                <w:bCs/>
                                <w:i w:val="0"/>
                                <w:iCs w:val="0"/>
                                <w:color w:val="0070C0"/>
                              </w:rPr>
                              <w:instrText xml:space="preserve"> SEQ Figure \* ARABIC </w:instrText>
                            </w:r>
                            <w:r w:rsidRPr="0030682B">
                              <w:rPr>
                                <w:rFonts w:ascii="Libertinus Sans" w:hAnsi="Libertinus Sans" w:cs="Libertinus Sans"/>
                                <w:b/>
                                <w:bCs/>
                                <w:i w:val="0"/>
                                <w:iCs w:val="0"/>
                                <w:color w:val="0070C0"/>
                              </w:rPr>
                              <w:fldChar w:fldCharType="separate"/>
                            </w:r>
                            <w:r w:rsidR="00D05BFF">
                              <w:rPr>
                                <w:rFonts w:ascii="Libertinus Sans" w:hAnsi="Libertinus Sans" w:cs="Libertinus Sans"/>
                                <w:b/>
                                <w:bCs/>
                                <w:i w:val="0"/>
                                <w:iCs w:val="0"/>
                                <w:noProof/>
                                <w:color w:val="0070C0"/>
                              </w:rPr>
                              <w:t>1</w:t>
                            </w:r>
                            <w:r w:rsidRPr="0030682B">
                              <w:rPr>
                                <w:rFonts w:ascii="Libertinus Sans" w:hAnsi="Libertinus Sans" w:cs="Libertinus Sans"/>
                                <w:b/>
                                <w:bCs/>
                                <w:i w:val="0"/>
                                <w:iCs w:val="0"/>
                                <w:color w:val="0070C0"/>
                              </w:rPr>
                              <w:fldChar w:fldCharType="end"/>
                            </w:r>
                            <w:r w:rsidRPr="0030682B">
                              <w:rPr>
                                <w:rFonts w:ascii="Libertinus Sans" w:hAnsi="Libertinus Sans" w:cs="Libertinus Sans"/>
                                <w:b/>
                                <w:bCs/>
                                <w:i w:val="0"/>
                                <w:iCs w:val="0"/>
                                <w:color w:val="0070C0"/>
                              </w:rPr>
                              <w:t xml:space="preserve">. </w:t>
                            </w:r>
                            <w:r w:rsidRPr="0030682B">
                              <w:rPr>
                                <w:rFonts w:ascii="Libertinus Sans" w:hAnsi="Libertinus Sans" w:cs="Libertinus Sans"/>
                                <w:i w:val="0"/>
                                <w:iCs w:val="0"/>
                                <w:color w:val="0070C0"/>
                              </w:rPr>
                              <w:t>Distribution of the mass-normalized span for molecules from the training set (n = 25000). Median = 0.02 Å</w:t>
                            </w:r>
                            <w:r w:rsidR="00D26196">
                              <w:rPr>
                                <w:rFonts w:ascii="Libertinus Sans" w:hAnsi="Libertinus Sans" w:cs="Libertinus Sans"/>
                                <w:i w:val="0"/>
                                <w:iCs w:val="0"/>
                                <w:color w:val="0070C0"/>
                              </w:rPr>
                              <w:t xml:space="preserve"> mol</w:t>
                            </w:r>
                            <w:r w:rsidR="00B32BB9">
                              <w:rPr>
                                <w:rFonts w:ascii="Libertinus Sans" w:hAnsi="Libertinus Sans" w:cs="Libertinus Sans"/>
                                <w:i w:val="0"/>
                                <w:iCs w:val="0"/>
                                <w:color w:val="0070C0"/>
                              </w:rPr>
                              <w:t xml:space="preserve"> </w:t>
                            </w:r>
                            <w:r w:rsidR="00D26196">
                              <w:rPr>
                                <w:rFonts w:ascii="Libertinus Sans" w:hAnsi="Libertinus Sans" w:cs="Libertinus Sans"/>
                                <w:i w:val="0"/>
                                <w:iCs w:val="0"/>
                                <w:color w:val="0070C0"/>
                              </w:rPr>
                              <w:t>g</w:t>
                            </w:r>
                            <w:r w:rsidR="00B32BB9" w:rsidRPr="00B32BB9">
                              <w:rPr>
                                <w:rFonts w:ascii="Libertinus Sans" w:hAnsi="Libertinus Sans" w:cs="Libertinus Sans"/>
                                <w:i w:val="0"/>
                                <w:iCs w:val="0"/>
                                <w:color w:val="0070C0"/>
                                <w:vertAlign w:val="superscript"/>
                              </w:rPr>
                              <w:t>-1</w:t>
                            </w:r>
                            <w:r w:rsidRPr="0030682B">
                              <w:rPr>
                                <w:rFonts w:ascii="Libertinus Sans" w:hAnsi="Libertinus Sans" w:cs="Libertinus Sans"/>
                                <w:i w:val="0"/>
                                <w:iCs w:val="0"/>
                                <w:color w:val="0070C0"/>
                              </w:rPr>
                              <w:t xml:space="preserve">; p75 = 0.03 </w:t>
                            </w:r>
                            <w:r w:rsidR="00D26196" w:rsidRPr="0030682B">
                              <w:rPr>
                                <w:rFonts w:ascii="Libertinus Sans" w:hAnsi="Libertinus Sans" w:cs="Libertinus Sans"/>
                                <w:i w:val="0"/>
                                <w:iCs w:val="0"/>
                                <w:color w:val="0070C0"/>
                              </w:rPr>
                              <w:t>Å</w:t>
                            </w:r>
                            <w:r w:rsidR="00D26196">
                              <w:rPr>
                                <w:rFonts w:ascii="Libertinus Sans" w:hAnsi="Libertinus Sans" w:cs="Libertinus Sans"/>
                                <w:i w:val="0"/>
                                <w:iCs w:val="0"/>
                                <w:color w:val="0070C0"/>
                              </w:rPr>
                              <w:t xml:space="preserve"> mol</w:t>
                            </w:r>
                            <w:r w:rsidR="00B32BB9">
                              <w:rPr>
                                <w:rFonts w:ascii="Libertinus Sans" w:hAnsi="Libertinus Sans" w:cs="Libertinus Sans"/>
                                <w:i w:val="0"/>
                                <w:iCs w:val="0"/>
                                <w:color w:val="0070C0"/>
                              </w:rPr>
                              <w:t xml:space="preserve"> </w:t>
                            </w:r>
                            <w:r w:rsidR="00D26196">
                              <w:rPr>
                                <w:rFonts w:ascii="Libertinus Sans" w:hAnsi="Libertinus Sans" w:cs="Libertinus Sans"/>
                                <w:i w:val="0"/>
                                <w:iCs w:val="0"/>
                                <w:color w:val="0070C0"/>
                              </w:rPr>
                              <w:t>g</w:t>
                            </w:r>
                            <w:r w:rsidR="00B32BB9" w:rsidRPr="00B32BB9">
                              <w:rPr>
                                <w:rFonts w:ascii="Libertinus Sans" w:hAnsi="Libertinus Sans" w:cs="Libertinus Sans"/>
                                <w:i w:val="0"/>
                                <w:iCs w:val="0"/>
                                <w:color w:val="0070C0"/>
                                <w:vertAlign w:val="superscript"/>
                              </w:rPr>
                              <w:t>-1</w:t>
                            </w:r>
                            <w:r w:rsidRPr="0030682B">
                              <w:rPr>
                                <w:rFonts w:ascii="Libertinus Sans" w:hAnsi="Libertinus Sans" w:cs="Libertinus Sans"/>
                                <w:i w:val="0"/>
                                <w:iCs w:val="0"/>
                                <w:color w:val="0070C0"/>
                              </w:rPr>
                              <w:t xml:space="preserve"> and p25 = 0.01 Å</w:t>
                            </w:r>
                            <w:r w:rsidR="00D26196">
                              <w:rPr>
                                <w:rFonts w:ascii="Libertinus Sans" w:hAnsi="Libertinus Sans" w:cs="Libertinus Sans"/>
                                <w:i w:val="0"/>
                                <w:iCs w:val="0"/>
                                <w:color w:val="0070C0"/>
                              </w:rPr>
                              <w:t xml:space="preserve"> mol</w:t>
                            </w:r>
                            <w:r w:rsidR="00B32BB9">
                              <w:rPr>
                                <w:rFonts w:ascii="Libertinus Sans" w:hAnsi="Libertinus Sans" w:cs="Libertinus Sans"/>
                                <w:i w:val="0"/>
                                <w:iCs w:val="0"/>
                                <w:color w:val="0070C0"/>
                              </w:rPr>
                              <w:t xml:space="preserve"> </w:t>
                            </w:r>
                            <w:r w:rsidR="00D26196">
                              <w:rPr>
                                <w:rFonts w:ascii="Libertinus Sans" w:hAnsi="Libertinus Sans" w:cs="Libertinus Sans"/>
                                <w:i w:val="0"/>
                                <w:iCs w:val="0"/>
                                <w:color w:val="0070C0"/>
                              </w:rPr>
                              <w:t>g</w:t>
                            </w:r>
                            <w:r w:rsidR="00B32BB9" w:rsidRPr="00B32BB9">
                              <w:rPr>
                                <w:rFonts w:ascii="Libertinus Sans" w:hAnsi="Libertinus Sans" w:cs="Libertinus Sans"/>
                                <w:i w:val="0"/>
                                <w:iCs w:val="0"/>
                                <w:color w:val="0070C0"/>
                                <w:vertAlign w:val="superscript"/>
                              </w:rPr>
                              <w:t>-1</w:t>
                            </w:r>
                            <w:r w:rsidRPr="0030682B">
                              <w:rPr>
                                <w:rFonts w:ascii="Libertinus Sans" w:hAnsi="Libertinus Sans" w:cs="Libertinus Sans"/>
                                <w:i w:val="0"/>
                                <w:iCs w:val="0"/>
                                <w:color w:val="0070C0"/>
                              </w:rPr>
                              <w:t>. The increasing sigmoidal desirability function is centred around p75, with a width of 0.5 x (p75 – p25) to favour linkers with favourable mass-normalized spans.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4EC463" id="_x0000_t202" coordsize="21600,21600" o:spt="202" path="m,l,21600r21600,l21600,xe">
                <v:stroke joinstyle="miter"/>
                <v:path gradientshapeok="t" o:connecttype="rect"/>
              </v:shapetype>
              <v:shape id="Text Box 1" o:spid="_x0000_s1026" type="#_x0000_t202" style="position:absolute;left:0;text-align:left;margin-left:246pt;margin-top:220.85pt;width:225pt;height:7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" stroked="f">
                <v:textbox inset="0,0,0,0">
                  <w:txbxContent>
                    <w:p w14:paraId="261320F6" w14:textId="77777777" w:rsidR="001A3333" w:rsidRPr="0030682B" w:rsidRDefault="001A3333" w:rsidP="001A3333">
                      <w:pPr>
                        <w:pStyle w:val="Caption"/>
                        <w:spacing w:line="276" w:lineRule="auto"/>
                        <w:jc w:val="both"/>
                        <w:rPr>
                          <w:rFonts w:ascii="Libertinus Sans" w:hAnsi="Libertinus Sans" w:cs="Libertinus Sans"/>
                          <w:i w:val="0"/>
                          <w:iCs w:val="0"/>
                          <w:noProof/>
                          <w:color w:val="0070C0"/>
                          <w:kern w:val="0"/>
                        </w:rPr>
                      </w:pPr>
                      <w:r w:rsidRPr="0030682B">
                        <w:rPr>
                          <w:rFonts w:ascii="Libertinus Sans" w:hAnsi="Libertinus Sans" w:cs="Libertinus Sans"/>
                          <w:b/>
                          <w:bCs/>
                          <w:i w:val="0"/>
                          <w:iCs w:val="0"/>
                          <w:color w:val="0070C0"/>
                        </w:rPr>
                        <w:t>Figure F</w:t>
                      </w:r>
                      <w:r w:rsidRPr="0030682B">
                        <w:rPr>
                          <w:rFonts w:ascii="Libertinus Sans" w:hAnsi="Libertinus Sans" w:cs="Libertinus Sans"/>
                          <w:b/>
                          <w:bCs/>
                          <w:i w:val="0"/>
                          <w:iCs w:val="0"/>
                          <w:color w:val="0070C0"/>
                        </w:rPr>
                        <w:fldChar w:fldCharType="begin"/>
                      </w:r>
                      <w:r w:rsidRPr="0030682B">
                        <w:rPr>
                          <w:rFonts w:ascii="Libertinus Sans" w:hAnsi="Libertinus Sans" w:cs="Libertinus Sans"/>
                          <w:b/>
                          <w:bCs/>
                          <w:i w:val="0"/>
                          <w:iCs w:val="0"/>
                          <w:color w:val="0070C0"/>
                        </w:rPr>
                        <w:instrText xml:space="preserve"> SEQ Figure \* ARABIC </w:instrText>
                      </w:r>
                      <w:r w:rsidRPr="0030682B">
                        <w:rPr>
                          <w:rFonts w:ascii="Libertinus Sans" w:hAnsi="Libertinus Sans" w:cs="Libertinus Sans"/>
                          <w:b/>
                          <w:bCs/>
                          <w:i w:val="0"/>
                          <w:iCs w:val="0"/>
                          <w:color w:val="0070C0"/>
                        </w:rPr>
                        <w:fldChar w:fldCharType="separate"/>
                      </w:r>
                      <w:r w:rsidR="00D05BFF">
                        <w:rPr>
                          <w:rFonts w:ascii="Libertinus Sans" w:hAnsi="Libertinus Sans" w:cs="Libertinus Sans"/>
                          <w:b/>
                          <w:bCs/>
                          <w:i w:val="0"/>
                          <w:iCs w:val="0"/>
                          <w:noProof/>
                          <w:color w:val="0070C0"/>
                        </w:rPr>
                        <w:t>1</w:t>
                      </w:r>
                      <w:r w:rsidRPr="0030682B">
                        <w:rPr>
                          <w:rFonts w:ascii="Libertinus Sans" w:hAnsi="Libertinus Sans" w:cs="Libertinus Sans"/>
                          <w:b/>
                          <w:bCs/>
                          <w:i w:val="0"/>
                          <w:iCs w:val="0"/>
                          <w:color w:val="0070C0"/>
                        </w:rPr>
                        <w:fldChar w:fldCharType="end"/>
                      </w:r>
                      <w:r w:rsidRPr="0030682B">
                        <w:rPr>
                          <w:rFonts w:ascii="Libertinus Sans" w:hAnsi="Libertinus Sans" w:cs="Libertinus Sans"/>
                          <w:b/>
                          <w:bCs/>
                          <w:i w:val="0"/>
                          <w:iCs w:val="0"/>
                          <w:color w:val="0070C0"/>
                        </w:rPr>
                        <w:t xml:space="preserve">. </w:t>
                      </w:r>
                      <w:r w:rsidRPr="0030682B">
                        <w:rPr>
                          <w:rFonts w:ascii="Libertinus Sans" w:hAnsi="Libertinus Sans" w:cs="Libertinus Sans"/>
                          <w:i w:val="0"/>
                          <w:iCs w:val="0"/>
                          <w:color w:val="0070C0"/>
                        </w:rPr>
                        <w:t>Distribution of the mass-normalized span for molecules from the training set (n = 25000). Median = 0.02 Å</w:t>
                      </w:r>
                      <w:r w:rsidR="00D26196">
                        <w:rPr>
                          <w:rFonts w:ascii="Libertinus Sans" w:hAnsi="Libertinus Sans" w:cs="Libertinus Sans"/>
                          <w:i w:val="0"/>
                          <w:iCs w:val="0"/>
                          <w:color w:val="0070C0"/>
                        </w:rPr>
                        <w:t xml:space="preserve"> mol</w:t>
                      </w:r>
                      <w:r w:rsidR="00B32BB9">
                        <w:rPr>
                          <w:rFonts w:ascii="Libertinus Sans" w:hAnsi="Libertinus Sans" w:cs="Libertinus Sans"/>
                          <w:i w:val="0"/>
                          <w:iCs w:val="0"/>
                          <w:color w:val="0070C0"/>
                        </w:rPr>
                        <w:t xml:space="preserve"> </w:t>
                      </w:r>
                      <w:r w:rsidR="00D26196">
                        <w:rPr>
                          <w:rFonts w:ascii="Libertinus Sans" w:hAnsi="Libertinus Sans" w:cs="Libertinus Sans"/>
                          <w:i w:val="0"/>
                          <w:iCs w:val="0"/>
                          <w:color w:val="0070C0"/>
                        </w:rPr>
                        <w:t>g</w:t>
                      </w:r>
                      <w:r w:rsidR="00B32BB9" w:rsidRPr="00B32BB9">
                        <w:rPr>
                          <w:rFonts w:ascii="Libertinus Sans" w:hAnsi="Libertinus Sans" w:cs="Libertinus Sans"/>
                          <w:i w:val="0"/>
                          <w:iCs w:val="0"/>
                          <w:color w:val="0070C0"/>
                          <w:vertAlign w:val="superscript"/>
                        </w:rPr>
                        <w:t>-1</w:t>
                      </w:r>
                      <w:r w:rsidRPr="0030682B">
                        <w:rPr>
                          <w:rFonts w:ascii="Libertinus Sans" w:hAnsi="Libertinus Sans" w:cs="Libertinus Sans"/>
                          <w:i w:val="0"/>
                          <w:iCs w:val="0"/>
                          <w:color w:val="0070C0"/>
                        </w:rPr>
                        <w:t xml:space="preserve">; p75 = 0.03 </w:t>
                      </w:r>
                      <w:r w:rsidR="00D26196" w:rsidRPr="0030682B">
                        <w:rPr>
                          <w:rFonts w:ascii="Libertinus Sans" w:hAnsi="Libertinus Sans" w:cs="Libertinus Sans"/>
                          <w:i w:val="0"/>
                          <w:iCs w:val="0"/>
                          <w:color w:val="0070C0"/>
                        </w:rPr>
                        <w:t>Å</w:t>
                      </w:r>
                      <w:r w:rsidR="00D26196">
                        <w:rPr>
                          <w:rFonts w:ascii="Libertinus Sans" w:hAnsi="Libertinus Sans" w:cs="Libertinus Sans"/>
                          <w:i w:val="0"/>
                          <w:iCs w:val="0"/>
                          <w:color w:val="0070C0"/>
                        </w:rPr>
                        <w:t xml:space="preserve"> mol</w:t>
                      </w:r>
                      <w:r w:rsidR="00B32BB9">
                        <w:rPr>
                          <w:rFonts w:ascii="Libertinus Sans" w:hAnsi="Libertinus Sans" w:cs="Libertinus Sans"/>
                          <w:i w:val="0"/>
                          <w:iCs w:val="0"/>
                          <w:color w:val="0070C0"/>
                        </w:rPr>
                        <w:t xml:space="preserve"> </w:t>
                      </w:r>
                      <w:r w:rsidR="00D26196">
                        <w:rPr>
                          <w:rFonts w:ascii="Libertinus Sans" w:hAnsi="Libertinus Sans" w:cs="Libertinus Sans"/>
                          <w:i w:val="0"/>
                          <w:iCs w:val="0"/>
                          <w:color w:val="0070C0"/>
                        </w:rPr>
                        <w:t>g</w:t>
                      </w:r>
                      <w:r w:rsidR="00B32BB9" w:rsidRPr="00B32BB9">
                        <w:rPr>
                          <w:rFonts w:ascii="Libertinus Sans" w:hAnsi="Libertinus Sans" w:cs="Libertinus Sans"/>
                          <w:i w:val="0"/>
                          <w:iCs w:val="0"/>
                          <w:color w:val="0070C0"/>
                          <w:vertAlign w:val="superscript"/>
                        </w:rPr>
                        <w:t>-1</w:t>
                      </w:r>
                      <w:r w:rsidRPr="0030682B">
                        <w:rPr>
                          <w:rFonts w:ascii="Libertinus Sans" w:hAnsi="Libertinus Sans" w:cs="Libertinus Sans"/>
                          <w:i w:val="0"/>
                          <w:iCs w:val="0"/>
                          <w:color w:val="0070C0"/>
                        </w:rPr>
                        <w:t xml:space="preserve"> and p25 = 0.01 Å</w:t>
                      </w:r>
                      <w:r w:rsidR="00D26196">
                        <w:rPr>
                          <w:rFonts w:ascii="Libertinus Sans" w:hAnsi="Libertinus Sans" w:cs="Libertinus Sans"/>
                          <w:i w:val="0"/>
                          <w:iCs w:val="0"/>
                          <w:color w:val="0070C0"/>
                        </w:rPr>
                        <w:t xml:space="preserve"> mol</w:t>
                      </w:r>
                      <w:r w:rsidR="00B32BB9">
                        <w:rPr>
                          <w:rFonts w:ascii="Libertinus Sans" w:hAnsi="Libertinus Sans" w:cs="Libertinus Sans"/>
                          <w:i w:val="0"/>
                          <w:iCs w:val="0"/>
                          <w:color w:val="0070C0"/>
                        </w:rPr>
                        <w:t xml:space="preserve"> </w:t>
                      </w:r>
                      <w:r w:rsidR="00D26196">
                        <w:rPr>
                          <w:rFonts w:ascii="Libertinus Sans" w:hAnsi="Libertinus Sans" w:cs="Libertinus Sans"/>
                          <w:i w:val="0"/>
                          <w:iCs w:val="0"/>
                          <w:color w:val="0070C0"/>
                        </w:rPr>
                        <w:t>g</w:t>
                      </w:r>
                      <w:r w:rsidR="00B32BB9" w:rsidRPr="00B32BB9">
                        <w:rPr>
                          <w:rFonts w:ascii="Libertinus Sans" w:hAnsi="Libertinus Sans" w:cs="Libertinus Sans"/>
                          <w:i w:val="0"/>
                          <w:iCs w:val="0"/>
                          <w:color w:val="0070C0"/>
                          <w:vertAlign w:val="superscript"/>
                        </w:rPr>
                        <w:t>-1</w:t>
                      </w:r>
                      <w:r w:rsidRPr="0030682B">
                        <w:rPr>
                          <w:rFonts w:ascii="Libertinus Sans" w:hAnsi="Libertinus Sans" w:cs="Libertinus Sans"/>
                          <w:i w:val="0"/>
                          <w:iCs w:val="0"/>
                          <w:color w:val="0070C0"/>
                        </w:rPr>
                        <w:t>. The increasing sigmoidal desirability function is centred around p75, with a width of 0.5 x (p75 – p25) to favour linkers with favourable mass-normalized spans.</w:t>
                      </w:r>
                    </w:p>
                  </w:txbxContent>
                </v:textbox>
                <w10:wrap type="square"/>
              </v:shape>
            </w:pict>
          </mc:Fallback>
        </mc:AlternateContent>
      </w:r>
      <w:r w:rsidR="00B32BB9">
        <w:rPr>
          <w:rFonts w:ascii="Libertinus Sans" w:eastAsiaTheme="minorEastAsia" w:hAnsi="Libertinus Sans" w:cs="Libertinus Sans"/>
          <w:noProof/>
          <w:kern w:val="0"/>
          <w:szCs w:val="22"/>
          <w:lang w:val="en-US"/>
        </w:rPr>
        <w:drawing>
          <wp:anchor distT="0" distB="0" distL="114300" distR="114300" simplePos="0" relativeHeight="251664384" behindDoc="0" locked="0" layoutInCell="1" allowOverlap="1" wp14:anchorId="635E889E" wp14:editId="764BAA17">
            <wp:simplePos x="0" y="0"/>
            <wp:positionH relativeFrom="column">
              <wp:posOffset>3075305</wp:posOffset>
            </wp:positionH>
            <wp:positionV relativeFrom="paragraph">
              <wp:posOffset>33020</wp:posOffset>
            </wp:positionV>
            <wp:extent cx="3028315" cy="2771775"/>
            <wp:effectExtent l="0" t="0" r="0" b="0"/>
            <wp:wrapSquare wrapText="bothSides"/>
            <wp:docPr id="40118879" name="Picture 2"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8879" name="Picture 2" descr="A graph of a number of column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28315" cy="2771775"/>
                    </a:xfrm>
                    <a:prstGeom prst="rect">
                      <a:avLst/>
                    </a:prstGeom>
                  </pic:spPr>
                </pic:pic>
              </a:graphicData>
            </a:graphic>
            <wp14:sizeRelH relativeFrom="page">
              <wp14:pctWidth>0</wp14:pctWidth>
            </wp14:sizeRelH>
            <wp14:sizeRelV relativeFrom="page">
              <wp14:pctHeight>0</wp14:pctHeight>
            </wp14:sizeRelV>
          </wp:anchor>
        </w:drawing>
      </w:r>
      <w:r w:rsidR="001A3333" w:rsidRPr="00E13323">
        <w:rPr>
          <w:rFonts w:ascii="Libertinus Sans" w:hAnsi="Libertinus Sans" w:cs="Libertinus Sans"/>
          <w:b/>
          <w:bCs/>
          <w:noProof/>
          <w:color w:val="000000" w:themeColor="text1"/>
          <w:kern w:val="0"/>
          <w:szCs w:val="22"/>
          <w:lang w:val="en-US"/>
        </w:rPr>
        <w:drawing>
          <wp:anchor distT="0" distB="0" distL="114300" distR="114300" simplePos="0" relativeHeight="251661312" behindDoc="0" locked="0" layoutInCell="1" allowOverlap="1" wp14:anchorId="06054E8C" wp14:editId="565D882D">
            <wp:simplePos x="0" y="0"/>
            <wp:positionH relativeFrom="column">
              <wp:posOffset>-187960</wp:posOffset>
            </wp:positionH>
            <wp:positionV relativeFrom="paragraph">
              <wp:posOffset>4197712</wp:posOffset>
            </wp:positionV>
            <wp:extent cx="3090545" cy="2906395"/>
            <wp:effectExtent l="0" t="0" r="0" b="1905"/>
            <wp:wrapSquare wrapText="bothSides"/>
            <wp:docPr id="1076834102" name="Picture 3" descr="A red and black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34102" name="Picture 3" descr="A red and black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90545" cy="2906395"/>
                    </a:xfrm>
                    <a:prstGeom prst="rect">
                      <a:avLst/>
                    </a:prstGeom>
                  </pic:spPr>
                </pic:pic>
              </a:graphicData>
            </a:graphic>
            <wp14:sizeRelH relativeFrom="page">
              <wp14:pctWidth>0</wp14:pctWidth>
            </wp14:sizeRelH>
            <wp14:sizeRelV relativeFrom="page">
              <wp14:pctHeight>0</wp14:pctHeight>
            </wp14:sizeRelV>
          </wp:anchor>
        </w:drawing>
      </w:r>
      <w:r w:rsidR="001A3333" w:rsidRPr="00E13323">
        <w:rPr>
          <w:rFonts w:ascii="Libertinus Sans" w:eastAsiaTheme="minorEastAsia" w:hAnsi="Libertinus Sans" w:cs="Libertinus Sans"/>
          <w:kern w:val="0"/>
          <w:szCs w:val="22"/>
          <w:lang w:val="en-US"/>
        </w:rPr>
        <w:t xml:space="preserve">Where, </w:t>
      </w:r>
      <m:oMath>
        <m:r>
          <w:rPr>
            <w:rFonts w:ascii="Cambria Math" w:eastAsiaTheme="minorEastAsia" w:hAnsi="Cambria Math" w:cs="Libertinus Sans"/>
            <w:kern w:val="0"/>
            <w:szCs w:val="22"/>
            <w:lang w:val="en-US"/>
          </w:rPr>
          <m:t>D</m:t>
        </m:r>
      </m:oMath>
      <w:r w:rsidR="001A3333" w:rsidRPr="00E13323">
        <w:rPr>
          <w:rFonts w:ascii="Libertinus Sans" w:eastAsiaTheme="minorEastAsia" w:hAnsi="Libertinus Sans" w:cs="Libertinus Sans"/>
          <w:kern w:val="0"/>
          <w:szCs w:val="22"/>
          <w:lang w:val="en-US"/>
        </w:rPr>
        <w:t xml:space="preserve"> denotes bounded desirability functions that prevent extreme values from distorting the reward scores while enabling smoother interpolations;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α</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1</m:t>
            </m:r>
          </m:sub>
        </m:sSub>
        <m:r>
          <w:rPr>
            <w:rFonts w:ascii="Cambria Math" w:eastAsiaTheme="minorEastAsia" w:hAnsi="Cambria Math" w:cs="Libertinus Sans"/>
            <w:kern w:val="0"/>
            <w:szCs w:val="22"/>
            <w:lang w:val="en-US"/>
          </w:rPr>
          <m:t>, </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α</m:t>
            </m:r>
          </m:e>
          <m:sub>
            <m:r>
              <w:rPr>
                <w:rFonts w:ascii="Cambria Math" w:eastAsiaTheme="minorEastAsia" w:hAnsi="Cambria Math" w:cs="Libertinus Sans"/>
                <w:kern w:val="0"/>
                <w:szCs w:val="22"/>
                <w:lang w:val="en-US"/>
              </w:rPr>
              <m:t>2</m:t>
            </m:r>
          </m:sub>
        </m:sSub>
        <m:r>
          <w:rPr>
            <w:rFonts w:ascii="Cambria Math" w:eastAsiaTheme="minorEastAsia" w:hAnsi="Cambria Math" w:cs="Libertinus Sans"/>
            <w:kern w:val="0"/>
            <w:szCs w:val="22"/>
            <w:lang w:val="en-US"/>
          </w:rPr>
          <m:t>, </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α</m:t>
            </m:r>
          </m:e>
          <m:sub>
            <m:r>
              <w:rPr>
                <w:rFonts w:ascii="Cambria Math" w:eastAsiaTheme="minorEastAsia" w:hAnsi="Cambria Math" w:cs="Libertinus Sans"/>
                <w:kern w:val="0"/>
                <w:szCs w:val="22"/>
                <w:lang w:val="en-US"/>
              </w:rPr>
              <m:t>3</m:t>
            </m:r>
          </m:sub>
        </m:sSub>
        <m:r>
          <w:rPr>
            <w:rFonts w:ascii="Cambria Math" w:eastAsiaTheme="minorEastAsia" w:hAnsi="Cambria Math" w:cs="Libertinus Sans"/>
            <w:kern w:val="0"/>
            <w:szCs w:val="22"/>
            <w:lang w:val="en-US"/>
          </w:rPr>
          <m:t xml:space="preserve"> </m:t>
        </m:r>
      </m:oMath>
      <w:r w:rsidR="001A3333" w:rsidRPr="00E13323">
        <w:rPr>
          <w:rFonts w:ascii="Libertinus Sans" w:eastAsiaTheme="minorEastAsia" w:hAnsi="Libertinus Sans" w:cs="Libertinus Sans"/>
          <w:kern w:val="0"/>
          <w:szCs w:val="22"/>
          <w:lang w:val="en-US"/>
        </w:rPr>
        <w:t xml:space="preserve"> denote the relative weights assigned to each term. In the case of the mass-normalized span descriptor</w:t>
      </w:r>
      <w:r w:rsidR="001A3333" w:rsidRPr="00E13323">
        <w:rPr>
          <w:rFonts w:ascii="Libertinus Sans" w:eastAsiaTheme="minorEastAsia" w:hAnsi="Libertinus Sans" w:cs="Libertinus Sans"/>
          <w:i/>
          <w:iCs/>
          <w:kern w:val="0"/>
          <w:szCs w:val="22"/>
          <w:lang w:val="en-US"/>
        </w:rPr>
        <w:t xml:space="preserve">, </w:t>
      </w:r>
      <m:oMath>
        <m:r>
          <w:rPr>
            <w:rFonts w:ascii="Cambria Math" w:eastAsiaTheme="minorEastAsia" w:hAnsi="Cambria Math" w:cs="Libertinus Sans"/>
            <w:kern w:val="0"/>
            <w:szCs w:val="22"/>
            <w:lang w:val="en-US"/>
          </w:rPr>
          <m:t>D</m:t>
        </m:r>
      </m:oMath>
      <w:r w:rsidR="001A3333" w:rsidRPr="00E13323">
        <w:rPr>
          <w:rFonts w:ascii="Libertinus Sans" w:eastAsiaTheme="minorEastAsia" w:hAnsi="Libertinus Sans" w:cs="Libertinus Sans"/>
          <w:i/>
          <w:kern w:val="0"/>
          <w:szCs w:val="22"/>
          <w:lang w:val="en-US"/>
        </w:rPr>
        <w:t xml:space="preserve"> </w:t>
      </w:r>
      <w:r w:rsidR="001A3333" w:rsidRPr="00E13323">
        <w:rPr>
          <w:rFonts w:ascii="Libertinus Sans" w:eastAsiaTheme="minorEastAsia" w:hAnsi="Libertinus Sans" w:cs="Libertinus Sans"/>
          <w:iCs/>
          <w:kern w:val="0"/>
          <w:szCs w:val="22"/>
          <w:lang w:val="en-US"/>
        </w:rPr>
        <w:t>is a</w:t>
      </w:r>
      <w:r w:rsidR="001A3333">
        <w:rPr>
          <w:rFonts w:ascii="Libertinus Sans" w:eastAsiaTheme="minorEastAsia" w:hAnsi="Libertinus Sans" w:cs="Libertinus Sans"/>
          <w:iCs/>
          <w:kern w:val="0"/>
          <w:szCs w:val="22"/>
          <w:lang w:val="en-US"/>
        </w:rPr>
        <w:t>n</w:t>
      </w:r>
      <w:r w:rsidR="001A3333" w:rsidRPr="00E13323">
        <w:rPr>
          <w:rFonts w:ascii="Libertinus Sans" w:eastAsiaTheme="minorEastAsia" w:hAnsi="Libertinus Sans" w:cs="Libertinus Sans"/>
          <w:iCs/>
          <w:kern w:val="0"/>
          <w:szCs w:val="22"/>
          <w:lang w:val="en-US"/>
        </w:rPr>
        <w:t xml:space="preserve"> increasing sigmoidal function centered around the 75</w:t>
      </w:r>
      <w:r w:rsidR="001A3333" w:rsidRPr="00E13323">
        <w:rPr>
          <w:rFonts w:ascii="Libertinus Sans" w:eastAsiaTheme="minorEastAsia" w:hAnsi="Libertinus Sans" w:cs="Libertinus Sans"/>
          <w:iCs/>
          <w:kern w:val="0"/>
          <w:szCs w:val="22"/>
          <w:vertAlign w:val="superscript"/>
          <w:lang w:val="en-US"/>
        </w:rPr>
        <w:t>th</w:t>
      </w:r>
      <w:r w:rsidR="001A3333" w:rsidRPr="00E13323">
        <w:rPr>
          <w:rFonts w:ascii="Libertinus Sans" w:eastAsiaTheme="minorEastAsia" w:hAnsi="Libertinus Sans" w:cs="Libertinus Sans"/>
          <w:iCs/>
          <w:kern w:val="0"/>
          <w:szCs w:val="22"/>
          <w:lang w:val="en-US"/>
        </w:rPr>
        <w:t xml:space="preserve"> percentile of the distribution from the sampled training set (</w:t>
      </w:r>
      <w:r w:rsidR="001A3333" w:rsidRPr="00E13323">
        <w:rPr>
          <w:rFonts w:ascii="Libertinus Sans" w:eastAsiaTheme="minorEastAsia" w:hAnsi="Libertinus Sans" w:cs="Libertinus Sans"/>
          <w:b/>
          <w:bCs/>
          <w:iCs/>
          <w:kern w:val="0"/>
          <w:szCs w:val="22"/>
          <w:lang w:val="en-US"/>
        </w:rPr>
        <w:t>Figure F1</w:t>
      </w:r>
      <w:r w:rsidR="001A3333" w:rsidRPr="00E13323">
        <w:rPr>
          <w:rFonts w:ascii="Libertinus Sans" w:eastAsiaTheme="minorEastAsia" w:hAnsi="Libertinus Sans" w:cs="Libertinus Sans"/>
          <w:iCs/>
          <w:kern w:val="0"/>
          <w:szCs w:val="22"/>
          <w:lang w:val="en-US"/>
        </w:rPr>
        <w:t xml:space="preserve">). Due to the strong regularization effect of this descriptor that penalizes </w:t>
      </w:r>
      <w:r w:rsidR="00CC1839">
        <w:rPr>
          <w:rFonts w:ascii="Libertinus Sans" w:eastAsiaTheme="minorEastAsia" w:hAnsi="Libertinus Sans" w:cs="Libertinus Sans"/>
          <w:iCs/>
          <w:kern w:val="0"/>
          <w:szCs w:val="22"/>
          <w:lang w:val="en-US"/>
        </w:rPr>
        <w:t>heavy</w:t>
      </w:r>
      <w:r w:rsidR="001A3333" w:rsidRPr="00E13323">
        <w:rPr>
          <w:rFonts w:ascii="Libertinus Sans" w:eastAsiaTheme="minorEastAsia" w:hAnsi="Libertinus Sans" w:cs="Libertinus Sans"/>
          <w:iCs/>
          <w:kern w:val="0"/>
          <w:szCs w:val="22"/>
          <w:lang w:val="en-US"/>
        </w:rPr>
        <w:t xml:space="preserve"> linkers, it is assigned a lower weightage of 0.2.  For the flexibility descriptor, </w:t>
      </w:r>
      <m:oMath>
        <m:r>
          <w:rPr>
            <w:rFonts w:ascii="Cambria Math" w:eastAsiaTheme="minorEastAsia" w:hAnsi="Cambria Math" w:cs="Libertinus Sans"/>
            <w:kern w:val="0"/>
            <w:szCs w:val="22"/>
            <w:lang w:val="en-US"/>
          </w:rPr>
          <m:t>D</m:t>
        </m:r>
      </m:oMath>
      <w:r w:rsidR="001A3333" w:rsidRPr="00E13323">
        <w:rPr>
          <w:rFonts w:ascii="Libertinus Sans" w:eastAsiaTheme="minorEastAsia" w:hAnsi="Libertinus Sans" w:cs="Libertinus Sans"/>
          <w:i/>
          <w:kern w:val="0"/>
          <w:szCs w:val="22"/>
          <w:lang w:val="en-US"/>
        </w:rPr>
        <w:t xml:space="preserve"> </w:t>
      </w:r>
      <w:r w:rsidR="001A3333" w:rsidRPr="00E13323">
        <w:rPr>
          <w:rFonts w:ascii="Libertinus Sans" w:eastAsiaTheme="minorEastAsia" w:hAnsi="Libertinus Sans" w:cs="Libertinus Sans"/>
          <w:iCs/>
          <w:kern w:val="0"/>
          <w:szCs w:val="22"/>
          <w:lang w:val="en-US"/>
        </w:rPr>
        <w:t>is a decreasing sigmoidal function centered around 0.5, with a width of 0.2. For the span descriptor,</w:t>
      </w:r>
      <w:r w:rsidR="00D05BFF">
        <w:rPr>
          <w:rFonts w:ascii="Libertinus Sans" w:eastAsiaTheme="minorEastAsia" w:hAnsi="Libertinus Sans" w:cs="Libertinus Sans"/>
          <w:iCs/>
          <w:kern w:val="0"/>
          <w:szCs w:val="22"/>
          <w:lang w:val="en-US"/>
        </w:rPr>
        <w:t xml:space="preserve"> </w:t>
      </w:r>
      <m:oMath>
        <m:r>
          <w:rPr>
            <w:rFonts w:ascii="Cambria Math" w:eastAsiaTheme="minorEastAsia" w:hAnsi="Cambria Math" w:cs="Libertinus Sans"/>
            <w:kern w:val="0"/>
            <w:szCs w:val="22"/>
            <w:lang w:val="en-US"/>
          </w:rPr>
          <m:t>D</m:t>
        </m:r>
      </m:oMath>
      <w:r w:rsidR="001A3333" w:rsidRPr="00E13323">
        <w:rPr>
          <w:rFonts w:ascii="Libertinus Sans" w:eastAsiaTheme="minorEastAsia" w:hAnsi="Libertinus Sans" w:cs="Libertinus Sans"/>
          <w:iCs/>
          <w:kern w:val="0"/>
          <w:szCs w:val="22"/>
          <w:lang w:val="en-US"/>
        </w:rPr>
        <w:t xml:space="preserve"> is an increasing sigmoidal function centered around 16 </w:t>
      </w:r>
      <w:r w:rsidR="001A3333" w:rsidRPr="00E13323">
        <w:rPr>
          <w:rFonts w:ascii="Libertinus Sans" w:hAnsi="Libertinus Sans" w:cs="Libertinus Sans"/>
          <w:color w:val="000000" w:themeColor="text1"/>
          <w:szCs w:val="22"/>
        </w:rPr>
        <w:t>Å, with a width of 4 Å.</w:t>
      </w:r>
      <w:r w:rsidR="00D05BFF">
        <w:rPr>
          <w:rFonts w:ascii="Libertinus Sans" w:eastAsiaTheme="minorEastAsia" w:hAnsi="Libertinus Sans" w:cs="Libertinus Sans"/>
          <w:iCs/>
          <w:kern w:val="0"/>
          <w:szCs w:val="22"/>
          <w:lang w:val="en-US"/>
        </w:rPr>
        <w:t xml:space="preserve"> </w:t>
      </w:r>
      <w:r w:rsidR="001A3333" w:rsidRPr="00E13323">
        <w:rPr>
          <w:rFonts w:ascii="Libertinus Sans" w:eastAsiaTheme="minorEastAsia" w:hAnsi="Libertinus Sans" w:cs="Libertinus Sans"/>
          <w:kern w:val="0"/>
          <w:szCs w:val="22"/>
          <w:lang w:val="en-US"/>
        </w:rPr>
        <w:t xml:space="preserve">Overall,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oMath>
      <w:r w:rsidR="001A3333" w:rsidRPr="00E13323">
        <w:rPr>
          <w:rFonts w:ascii="Libertinus Sans" w:eastAsiaTheme="minorEastAsia" w:hAnsi="Libertinus Sans" w:cs="Libertinus Sans"/>
          <w:kern w:val="0"/>
          <w:szCs w:val="22"/>
          <w:lang w:val="en-US"/>
        </w:rPr>
        <w:t xml:space="preserve"> encodes structural priors that support lightweight, long-span, shape-persistent linkers. </w:t>
      </w:r>
      <w:r w:rsidR="001A3333" w:rsidRPr="00E13323">
        <w:rPr>
          <w:rFonts w:ascii="Libertinus Sans" w:eastAsiaTheme="minorEastAsia" w:hAnsi="Libertinus Sans" w:cs="Libertinus Sans"/>
          <w:b/>
          <w:bCs/>
          <w:kern w:val="0"/>
          <w:szCs w:val="22"/>
          <w:lang w:val="en-US"/>
        </w:rPr>
        <w:t xml:space="preserve">Figure F2 </w:t>
      </w:r>
      <w:r w:rsidR="001A3333" w:rsidRPr="00E13323">
        <w:rPr>
          <w:rFonts w:ascii="Libertinus Sans" w:eastAsiaTheme="minorEastAsia" w:hAnsi="Libertinus Sans" w:cs="Libertinus Sans"/>
          <w:kern w:val="0"/>
          <w:szCs w:val="22"/>
          <w:lang w:val="en-US"/>
        </w:rPr>
        <w:t xml:space="preserve">shows the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oMath>
      <w:r w:rsidR="001A3333" w:rsidRPr="00E13323">
        <w:rPr>
          <w:rFonts w:ascii="Libertinus Sans" w:eastAsiaTheme="minorEastAsia" w:hAnsi="Libertinus Sans" w:cs="Libertinus Sans"/>
          <w:kern w:val="0"/>
          <w:szCs w:val="22"/>
          <w:lang w:val="en-US"/>
        </w:rPr>
        <w:t xml:space="preserve"> distribution of linkers from the training set (n = 25000). The distribution has a median reward of 0.52 (p75 = 0.58, p25 = 0.43). Crucially, the distribution is not skewed to either</w:t>
      </w:r>
      <w:r w:rsidR="001A3333">
        <w:rPr>
          <w:rFonts w:ascii="Libertinus Sans" w:eastAsiaTheme="minorEastAsia" w:hAnsi="Libertinus Sans" w:cs="Libertinus Sans"/>
          <w:kern w:val="0"/>
          <w:szCs w:val="22"/>
          <w:lang w:val="en-US"/>
        </w:rPr>
        <w:t xml:space="preserve"> extreme confirming that the rewards are not saturated; instead, the rewards span a healthy range of (0.2, 0.8). </w:t>
      </w:r>
      <w:r w:rsidR="001A3333" w:rsidRPr="00133818">
        <w:rPr>
          <w:rFonts w:ascii="Libertinus Sans" w:eastAsiaTheme="minorEastAsia" w:hAnsi="Libertinus Sans" w:cs="Libertinus Sans"/>
          <w:kern w:val="0"/>
          <w:szCs w:val="22"/>
        </w:rPr>
        <w:t>The absence of sharp cutoffs or collapsed modes indicates that the reward landscape is well-conditioned and preserves meaningful variance across chemically diverse linkers.</w:t>
      </w:r>
      <w:r w:rsidR="001A3333">
        <w:rPr>
          <w:rFonts w:ascii="Libertinus Sans" w:eastAsiaTheme="minorEastAsia" w:hAnsi="Libertinus Sans" w:cs="Libertinus Sans"/>
          <w:kern w:val="0"/>
          <w:szCs w:val="22"/>
        </w:rPr>
        <w:t xml:space="preserve"> </w:t>
      </w:r>
      <w:r w:rsidR="001A3333">
        <w:rPr>
          <w:rFonts w:ascii="Libertinus Sans" w:eastAsiaTheme="minorEastAsia" w:hAnsi="Libertinus Sans" w:cs="Libertinus Sans"/>
          <w:kern w:val="0"/>
          <w:szCs w:val="22"/>
          <w:lang w:val="en-US"/>
        </w:rPr>
        <w:t xml:space="preserve">The function should ensure that structural modifications produced graded changes in the reward – consistent with flow-based optimization. </w:t>
      </w:r>
    </w:p>
    <w:p w14:paraId="727C582B" w14:textId="77777777" w:rsidR="001A3333" w:rsidRDefault="001A3333" w:rsidP="001A3333">
      <w:pPr>
        <w:autoSpaceDE w:val="0"/>
        <w:autoSpaceDN w:val="0"/>
        <w:adjustRightInd w:val="0"/>
        <w:spacing w:after="60" w:line="276" w:lineRule="auto"/>
        <w:jc w:val="both"/>
        <w:rPr>
          <w:rFonts w:ascii="Libertinus Sans" w:hAnsi="Libertinus Sans" w:cs="Libertinus Sans"/>
          <w:b/>
          <w:bCs/>
          <w:color w:val="000000" w:themeColor="text1"/>
          <w:kern w:val="0"/>
          <w:sz w:val="18"/>
          <w:szCs w:val="18"/>
          <w:lang w:val="en-US"/>
        </w:rPr>
      </w:pPr>
    </w:p>
    <w:p w14:paraId="274F5765"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sidRPr="0030682B">
        <w:rPr>
          <w:rFonts w:ascii="Libertinus Sans" w:hAnsi="Libertinus Sans" w:cs="Libertinus Sans"/>
          <w:b/>
          <w:bCs/>
          <w:color w:val="0070C0"/>
          <w:kern w:val="0"/>
          <w:sz w:val="18"/>
          <w:szCs w:val="18"/>
          <w:lang w:val="en-US"/>
        </w:rPr>
        <w:t xml:space="preserve">Figure F2. </w:t>
      </w:r>
      <w:r w:rsidRPr="0030682B">
        <w:rPr>
          <w:rFonts w:ascii="Libertinus Sans" w:hAnsi="Libertinus Sans" w:cs="Libertinus Sans"/>
          <w:color w:val="0070C0"/>
          <w:kern w:val="0"/>
          <w:sz w:val="18"/>
          <w:szCs w:val="18"/>
          <w:lang w:val="en-US"/>
        </w:rPr>
        <w:t>Distribution of the gravimetric reward score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R</m:t>
            </m:r>
          </m:e>
          <m:sub>
            <m:r>
              <w:rPr>
                <w:rFonts w:ascii="Cambria Math" w:eastAsiaTheme="minorEastAsia" w:hAnsi="Cambria Math" w:cs="Libertinus Sans"/>
                <w:color w:val="0070C0"/>
                <w:kern w:val="0"/>
                <w:sz w:val="18"/>
                <w:szCs w:val="18"/>
                <w:lang w:val="en-US"/>
              </w:rPr>
              <m:t>grav</m:t>
            </m:r>
          </m:sub>
        </m:sSub>
      </m:oMath>
      <w:r w:rsidRPr="0030682B">
        <w:rPr>
          <w:rFonts w:ascii="Libertinus Sans" w:eastAsiaTheme="minorEastAsia" w:hAnsi="Libertinus Sans" w:cs="Libertinus Sans"/>
          <w:color w:val="0070C0"/>
          <w:kern w:val="0"/>
          <w:sz w:val="18"/>
          <w:szCs w:val="18"/>
          <w:lang w:val="en-US"/>
        </w:rPr>
        <w:t>) for molecules from the training set (n = 25000). Median = 0.52; p75 = 0.58 and p25 = 0.43. Notably, the distribution is not skewed towards either extreme bound – which would have been indicative of collapse.  The distribution spans almost the entire range and we also observe a smooth gradient towards higher scores, suggesting that a non-trivial fraction of the training linkers achieve high scores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α</m:t>
            </m:r>
          </m:e>
          <m:sub>
            <m:r>
              <w:rPr>
                <w:rFonts w:ascii="Cambria Math" w:eastAsiaTheme="minorEastAsia" w:hAnsi="Cambria Math" w:cs="Libertinus Sans"/>
                <w:color w:val="0070C0"/>
                <w:kern w:val="0"/>
                <w:sz w:val="18"/>
                <w:szCs w:val="18"/>
                <w:lang w:val="en-US"/>
              </w:rPr>
              <m:t>1</m:t>
            </m:r>
          </m:sub>
        </m:sSub>
      </m:oMath>
      <w:r w:rsidRPr="0030682B">
        <w:rPr>
          <w:rFonts w:ascii="Libertinus Sans" w:eastAsiaTheme="minorEastAsia" w:hAnsi="Libertinus Sans" w:cs="Libertinus Sans"/>
          <w:color w:val="0070C0"/>
          <w:kern w:val="0"/>
          <w:sz w:val="18"/>
          <w:szCs w:val="18"/>
          <w:lang w:val="en-US"/>
        </w:rPr>
        <w:t xml:space="preserve">=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α</m:t>
            </m:r>
          </m:e>
          <m:sub>
            <m:r>
              <w:rPr>
                <w:rFonts w:ascii="Cambria Math" w:eastAsiaTheme="minorEastAsia" w:hAnsi="Cambria Math" w:cs="Libertinus Sans"/>
                <w:color w:val="0070C0"/>
                <w:kern w:val="0"/>
                <w:sz w:val="18"/>
                <w:szCs w:val="18"/>
                <w:lang w:val="en-US"/>
              </w:rPr>
              <m:t>2</m:t>
            </m:r>
          </m:sub>
        </m:sSub>
      </m:oMath>
      <w:r w:rsidRPr="0030682B">
        <w:rPr>
          <w:rFonts w:ascii="Libertinus Sans" w:eastAsiaTheme="minorEastAsia" w:hAnsi="Libertinus Sans" w:cs="Libertinus Sans"/>
          <w:color w:val="0070C0"/>
          <w:kern w:val="0"/>
          <w:sz w:val="18"/>
          <w:szCs w:val="18"/>
          <w:lang w:val="en-US"/>
        </w:rPr>
        <w:t xml:space="preserve">= 0.4;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α</m:t>
            </m:r>
          </m:e>
          <m:sub>
            <m:r>
              <w:rPr>
                <w:rFonts w:ascii="Cambria Math" w:eastAsiaTheme="minorEastAsia" w:hAnsi="Cambria Math" w:cs="Libertinus Sans"/>
                <w:color w:val="0070C0"/>
                <w:kern w:val="0"/>
                <w:sz w:val="18"/>
                <w:szCs w:val="18"/>
                <w:lang w:val="en-US"/>
              </w:rPr>
              <m:t>2</m:t>
            </m:r>
          </m:sub>
        </m:sSub>
      </m:oMath>
      <w:r w:rsidRPr="0030682B">
        <w:rPr>
          <w:rFonts w:ascii="Libertinus Sans" w:eastAsiaTheme="minorEastAsia" w:hAnsi="Libertinus Sans" w:cs="Libertinus Sans"/>
          <w:color w:val="0070C0"/>
          <w:kern w:val="0"/>
          <w:sz w:val="18"/>
          <w:szCs w:val="18"/>
          <w:lang w:val="en-US"/>
        </w:rPr>
        <w:t>= 0.2].</w:t>
      </w:r>
    </w:p>
    <w:p w14:paraId="29D87537" w14:textId="77777777" w:rsidR="00E65C01" w:rsidRDefault="00E65C01"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p>
    <w:p w14:paraId="7015894F" w14:textId="77777777" w:rsidR="003A527F" w:rsidRDefault="003A527F"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p>
    <w:p w14:paraId="05417CBC" w14:textId="77777777" w:rsidR="00E65C01" w:rsidRPr="0030682B" w:rsidRDefault="00E65C01"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p>
    <w:p w14:paraId="3C5AF477" w14:textId="77777777" w:rsidR="001A3333" w:rsidRPr="00E11632" w:rsidRDefault="001A3333" w:rsidP="001A3333">
      <w:pPr>
        <w:autoSpaceDE w:val="0"/>
        <w:autoSpaceDN w:val="0"/>
        <w:adjustRightInd w:val="0"/>
        <w:spacing w:after="60" w:line="276" w:lineRule="auto"/>
        <w:jc w:val="both"/>
        <w:rPr>
          <w:rFonts w:ascii="Libertinus Sans" w:eastAsiaTheme="minorEastAsia" w:hAnsi="Libertinus Sans" w:cs="Libertinus Sans"/>
          <w:kern w:val="0"/>
          <w:sz w:val="18"/>
          <w:szCs w:val="18"/>
          <w:lang w:val="en-US"/>
        </w:rPr>
      </w:pPr>
      <w:r w:rsidRPr="00E13323">
        <w:rPr>
          <w:rFonts w:ascii="Libertinus Sans" w:eastAsiaTheme="minorEastAsia" w:hAnsi="Libertinus Sans" w:cs="Libertinus Sans"/>
          <w:b/>
          <w:bCs/>
          <w:kern w:val="0"/>
          <w:szCs w:val="22"/>
          <w:lang w:val="en-US"/>
        </w:rPr>
        <w:t>Figure F</w:t>
      </w:r>
      <w:r>
        <w:rPr>
          <w:rFonts w:ascii="Libertinus Sans" w:eastAsiaTheme="minorEastAsia" w:hAnsi="Libertinus Sans" w:cs="Libertinus Sans"/>
          <w:b/>
          <w:bCs/>
          <w:kern w:val="0"/>
          <w:szCs w:val="22"/>
          <w:lang w:val="en-US"/>
        </w:rPr>
        <w:t>3</w:t>
      </w:r>
      <w:r w:rsidRPr="00E13323">
        <w:rPr>
          <w:rFonts w:ascii="Libertinus Sans" w:eastAsiaTheme="minorEastAsia" w:hAnsi="Libertinus Sans" w:cs="Libertinus Sans"/>
          <w:b/>
          <w:bCs/>
          <w:kern w:val="0"/>
          <w:szCs w:val="22"/>
          <w:lang w:val="en-US"/>
        </w:rPr>
        <w:t xml:space="preserve"> </w:t>
      </w:r>
      <w:r w:rsidRPr="00E13323">
        <w:rPr>
          <w:rFonts w:ascii="Libertinus Sans" w:eastAsiaTheme="minorEastAsia" w:hAnsi="Libertinus Sans" w:cs="Libertinus Sans"/>
          <w:kern w:val="0"/>
          <w:szCs w:val="22"/>
          <w:lang w:val="en-US"/>
        </w:rPr>
        <w:t>shows</w:t>
      </w:r>
      <w:r>
        <w:rPr>
          <w:rFonts w:ascii="Libertinus Sans" w:eastAsiaTheme="minorEastAsia" w:hAnsi="Libertinus Sans" w:cs="Libertinus Sans"/>
          <w:kern w:val="0"/>
          <w:szCs w:val="22"/>
          <w:lang w:val="en-US"/>
        </w:rPr>
        <w:t xml:space="preserve"> the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oMath>
      <w:r>
        <w:rPr>
          <w:rFonts w:ascii="Libertinus Sans" w:eastAsiaTheme="minorEastAsia" w:hAnsi="Libertinus Sans" w:cs="Libertinus Sans"/>
          <w:kern w:val="0"/>
          <w:szCs w:val="22"/>
          <w:lang w:val="en-US"/>
        </w:rPr>
        <w:t xml:space="preserve"> scores computed for linkers corresponding to some of the top-performing MOFs for gravimetric CH</w:t>
      </w:r>
      <w:r w:rsidRPr="00E11632">
        <w:rPr>
          <w:rFonts w:ascii="Libertinus Sans" w:eastAsiaTheme="minorEastAsia" w:hAnsi="Libertinus Sans" w:cs="Libertinus Sans"/>
          <w:kern w:val="0"/>
          <w:szCs w:val="22"/>
          <w:vertAlign w:val="subscript"/>
          <w:lang w:val="en-US"/>
        </w:rPr>
        <w:t>4</w:t>
      </w:r>
      <w:r>
        <w:rPr>
          <w:rFonts w:ascii="Libertinus Sans" w:eastAsiaTheme="minorEastAsia" w:hAnsi="Libertinus Sans" w:cs="Libertinus Sans"/>
          <w:kern w:val="0"/>
          <w:szCs w:val="22"/>
          <w:vertAlign w:val="subscript"/>
          <w:lang w:val="en-US"/>
        </w:rPr>
        <w:t xml:space="preserve"> </w:t>
      </w:r>
      <w:r>
        <w:rPr>
          <w:rFonts w:ascii="Libertinus Sans" w:eastAsiaTheme="minorEastAsia" w:hAnsi="Libertinus Sans" w:cs="Libertinus Sans"/>
          <w:kern w:val="0"/>
          <w:szCs w:val="22"/>
          <w:lang w:val="en-US"/>
        </w:rPr>
        <w:t>storage. The scores assigned to each linker roughly correspond to the observed CH</w:t>
      </w:r>
      <w:r w:rsidRPr="00E11632">
        <w:rPr>
          <w:rFonts w:ascii="Libertinus Sans" w:eastAsiaTheme="minorEastAsia" w:hAnsi="Libertinus Sans" w:cs="Libertinus Sans"/>
          <w:kern w:val="0"/>
          <w:szCs w:val="22"/>
          <w:vertAlign w:val="subscript"/>
          <w:lang w:val="en-US"/>
        </w:rPr>
        <w:t>4</w:t>
      </w:r>
      <w:r>
        <w:rPr>
          <w:rFonts w:ascii="Libertinus Sans" w:eastAsiaTheme="minorEastAsia" w:hAnsi="Libertinus Sans" w:cs="Libertinus Sans"/>
          <w:kern w:val="0"/>
          <w:szCs w:val="22"/>
          <w:vertAlign w:val="subscript"/>
          <w:lang w:val="en-US"/>
        </w:rPr>
        <w:t xml:space="preserve"> </w:t>
      </w:r>
      <w:r>
        <w:rPr>
          <w:rFonts w:ascii="Libertinus Sans" w:eastAsiaTheme="minorEastAsia" w:hAnsi="Libertinus Sans" w:cs="Libertinus Sans"/>
          <w:kern w:val="0"/>
          <w:szCs w:val="22"/>
          <w:lang w:val="en-US"/>
        </w:rPr>
        <w:t xml:space="preserve">storage trends. Notably, the linker of </w:t>
      </w:r>
      <w:r w:rsidRPr="00E11632">
        <w:rPr>
          <w:rFonts w:ascii="Libertinus Sans" w:eastAsiaTheme="minorEastAsia" w:hAnsi="Libertinus Sans" w:cs="Libertinus Sans"/>
          <w:b/>
          <w:bCs/>
          <w:kern w:val="0"/>
          <w:szCs w:val="22"/>
          <w:lang w:val="en-US"/>
        </w:rPr>
        <w:t>CU-6</w:t>
      </w:r>
      <w:r>
        <w:rPr>
          <w:rFonts w:ascii="Libertinus Sans" w:eastAsiaTheme="minorEastAsia" w:hAnsi="Libertinus Sans" w:cs="Libertinus Sans"/>
          <w:b/>
          <w:bCs/>
          <w:kern w:val="0"/>
          <w:szCs w:val="22"/>
          <w:lang w:val="en-US"/>
        </w:rPr>
        <w:t xml:space="preserve"> </w:t>
      </w:r>
      <w:r>
        <w:rPr>
          <w:rFonts w:ascii="Libertinus Sans" w:eastAsiaTheme="minorEastAsia" w:hAnsi="Libertinus Sans" w:cs="Libertinus Sans"/>
          <w:kern w:val="0"/>
          <w:szCs w:val="22"/>
          <w:lang w:val="en-US"/>
        </w:rPr>
        <w:t>– a MOF recently reported by some of us – which has the highest gravimetric CH</w:t>
      </w:r>
      <w:r w:rsidRPr="00E11632">
        <w:rPr>
          <w:rFonts w:ascii="Libertinus Sans" w:eastAsiaTheme="minorEastAsia" w:hAnsi="Libertinus Sans" w:cs="Libertinus Sans"/>
          <w:kern w:val="0"/>
          <w:szCs w:val="22"/>
          <w:vertAlign w:val="subscript"/>
          <w:lang w:val="en-US"/>
        </w:rPr>
        <w:t>4</w:t>
      </w:r>
      <w:r>
        <w:rPr>
          <w:rFonts w:ascii="Libertinus Sans" w:eastAsiaTheme="minorEastAsia" w:hAnsi="Libertinus Sans" w:cs="Libertinus Sans"/>
          <w:kern w:val="0"/>
          <w:szCs w:val="22"/>
          <w:vertAlign w:val="subscript"/>
          <w:lang w:val="en-US"/>
        </w:rPr>
        <w:t xml:space="preserve"> </w:t>
      </w:r>
      <w:r>
        <w:rPr>
          <w:rFonts w:ascii="Libertinus Sans" w:eastAsiaTheme="minorEastAsia" w:hAnsi="Libertinus Sans" w:cs="Libertinus Sans"/>
          <w:kern w:val="0"/>
          <w:szCs w:val="22"/>
          <w:lang w:val="en-US"/>
        </w:rPr>
        <w:t xml:space="preserve">storage capacity to date shows the highest relative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oMath>
      <w:r>
        <w:rPr>
          <w:rFonts w:ascii="Libertinus Sans" w:eastAsiaTheme="minorEastAsia" w:hAnsi="Libertinus Sans" w:cs="Libertinus Sans"/>
          <w:kern w:val="0"/>
          <w:szCs w:val="22"/>
          <w:lang w:val="en-US"/>
        </w:rPr>
        <w:t xml:space="preserve"> score. We however stress that there are several aspects relating to metal-node effects, topology and volumetric packing that are not captured here; this remains a computationally-efficient proxy for discriminating linkers.</w:t>
      </w:r>
    </w:p>
    <w:p w14:paraId="08614D9A" w14:textId="77777777" w:rsidR="001A3333" w:rsidRDefault="001A3333" w:rsidP="001A3333">
      <w:pPr>
        <w:autoSpaceDE w:val="0"/>
        <w:autoSpaceDN w:val="0"/>
        <w:adjustRightInd w:val="0"/>
        <w:spacing w:after="60" w:line="276" w:lineRule="auto"/>
        <w:rPr>
          <w:rFonts w:ascii="Libertinus Sans" w:eastAsiaTheme="minorEastAsia" w:hAnsi="Libertinus Sans" w:cs="Libertinus Sans"/>
          <w:kern w:val="0"/>
          <w:szCs w:val="22"/>
          <w:lang w:val="en-US"/>
        </w:rPr>
      </w:pPr>
      <w:r>
        <w:rPr>
          <w:rFonts w:ascii="Libertinus Sans" w:eastAsiaTheme="minorEastAsia" w:hAnsi="Libertinus Sans" w:cs="Libertinus Sans"/>
          <w:noProof/>
          <w:kern w:val="0"/>
          <w:szCs w:val="22"/>
          <w:lang w:val="en-US"/>
        </w:rPr>
        <w:drawing>
          <wp:inline distT="0" distB="0" distL="0" distR="0" wp14:anchorId="5DE54659" wp14:editId="3FC89A0D">
            <wp:extent cx="6136849" cy="1984641"/>
            <wp:effectExtent l="0" t="0" r="0" b="0"/>
            <wp:docPr id="1463245820" name="Picture 2"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45820" name="Picture 2" descr="A diagram of a molecul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60195" cy="1992191"/>
                    </a:xfrm>
                    <a:prstGeom prst="rect">
                      <a:avLst/>
                    </a:prstGeom>
                  </pic:spPr>
                </pic:pic>
              </a:graphicData>
            </a:graphic>
          </wp:inline>
        </w:drawing>
      </w:r>
    </w:p>
    <w:p w14:paraId="17EAD4A8"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sidRPr="0030682B">
        <w:rPr>
          <w:rFonts w:ascii="Libertinus Sans" w:hAnsi="Libertinus Sans" w:cs="Libertinus Sans"/>
          <w:b/>
          <w:bCs/>
          <w:color w:val="0070C0"/>
          <w:kern w:val="0"/>
          <w:sz w:val="18"/>
          <w:szCs w:val="18"/>
          <w:lang w:val="en-US"/>
        </w:rPr>
        <w:t xml:space="preserve">Figure F3.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R</m:t>
            </m:r>
          </m:e>
          <m:sub>
            <m:r>
              <w:rPr>
                <w:rFonts w:ascii="Cambria Math" w:eastAsiaTheme="minorEastAsia" w:hAnsi="Cambria Math" w:cs="Libertinus Sans"/>
                <w:color w:val="0070C0"/>
                <w:kern w:val="0"/>
                <w:sz w:val="18"/>
                <w:szCs w:val="18"/>
                <w:lang w:val="en-US"/>
              </w:rPr>
              <m:t>grav</m:t>
            </m:r>
          </m:sub>
        </m:sSub>
      </m:oMath>
      <w:r w:rsidRPr="0030682B">
        <w:rPr>
          <w:rFonts w:ascii="Libertinus Sans" w:eastAsiaTheme="minorEastAsia" w:hAnsi="Libertinus Sans" w:cs="Libertinus Sans"/>
          <w:color w:val="0070C0"/>
          <w:kern w:val="0"/>
          <w:sz w:val="18"/>
          <w:szCs w:val="18"/>
          <w:lang w:val="en-US"/>
        </w:rPr>
        <w:t xml:space="preserve"> scores for linkers belong to top-performing MOFs for gravimetric CH</w:t>
      </w:r>
      <w:r w:rsidRPr="0030682B">
        <w:rPr>
          <w:rFonts w:ascii="Libertinus Sans" w:eastAsiaTheme="minorEastAsia" w:hAnsi="Libertinus Sans" w:cs="Libertinus Sans"/>
          <w:color w:val="0070C0"/>
          <w:kern w:val="0"/>
          <w:sz w:val="18"/>
          <w:szCs w:val="18"/>
          <w:vertAlign w:val="subscript"/>
          <w:lang w:val="en-US"/>
        </w:rPr>
        <w:t xml:space="preserve">4 </w:t>
      </w:r>
      <w:r w:rsidRPr="0030682B">
        <w:rPr>
          <w:rFonts w:ascii="Libertinus Sans" w:eastAsiaTheme="minorEastAsia" w:hAnsi="Libertinus Sans" w:cs="Libertinus Sans"/>
          <w:color w:val="0070C0"/>
          <w:kern w:val="0"/>
          <w:sz w:val="18"/>
          <w:szCs w:val="18"/>
          <w:lang w:val="en-US"/>
        </w:rPr>
        <w:t>storage. There</w:t>
      </w:r>
      <w:r w:rsidR="00CC1839">
        <w:rPr>
          <w:rFonts w:ascii="Libertinus Sans" w:eastAsiaTheme="minorEastAsia" w:hAnsi="Libertinus Sans" w:cs="Libertinus Sans"/>
          <w:color w:val="0070C0"/>
          <w:kern w:val="0"/>
          <w:sz w:val="18"/>
          <w:szCs w:val="18"/>
          <w:lang w:val="en-US"/>
        </w:rPr>
        <w:t xml:space="preserve"> ranking of benchmark linkers</w:t>
      </w:r>
      <w:r w:rsidRPr="0030682B">
        <w:rPr>
          <w:rFonts w:ascii="Libertinus Sans" w:eastAsiaTheme="minorEastAsia" w:hAnsi="Libertinus Sans" w:cs="Libertinus Sans"/>
          <w:color w:val="0070C0"/>
          <w:kern w:val="0"/>
          <w:sz w:val="18"/>
          <w:szCs w:val="18"/>
          <w:lang w:val="en-US"/>
        </w:rPr>
        <w:t xml:space="preserve"> is</w:t>
      </w:r>
      <w:r w:rsidR="00CC1839">
        <w:rPr>
          <w:rFonts w:ascii="Libertinus Sans" w:eastAsiaTheme="minorEastAsia" w:hAnsi="Libertinus Sans" w:cs="Libertinus Sans"/>
          <w:color w:val="0070C0"/>
          <w:kern w:val="0"/>
          <w:sz w:val="18"/>
          <w:szCs w:val="18"/>
          <w:lang w:val="en-US"/>
        </w:rPr>
        <w:t xml:space="preserve"> broadly consistent with reported trends</w:t>
      </w:r>
      <w:r w:rsidRPr="0030682B">
        <w:rPr>
          <w:rFonts w:ascii="Libertinus Sans" w:eastAsiaTheme="minorEastAsia" w:hAnsi="Libertinus Sans" w:cs="Libertinus Sans"/>
          <w:color w:val="0070C0"/>
          <w:kern w:val="0"/>
          <w:sz w:val="18"/>
          <w:szCs w:val="18"/>
          <w:lang w:val="en-US"/>
        </w:rPr>
        <w:t xml:space="preserve">. However, for a complete assessment, it is crucial to account for metal-node effects, topology and volumetric packing. As an illustrate example, while MOF-519 and MOF-520 share the same linker, </w:t>
      </w:r>
      <w:r w:rsidR="002B7E5D">
        <w:rPr>
          <w:rFonts w:ascii="Libertinus Sans" w:eastAsiaTheme="minorEastAsia" w:hAnsi="Libertinus Sans" w:cs="Libertinus Sans"/>
          <w:color w:val="0070C0"/>
          <w:kern w:val="0"/>
          <w:sz w:val="18"/>
          <w:szCs w:val="18"/>
          <w:lang w:val="en-US"/>
        </w:rPr>
        <w:t>they</w:t>
      </w:r>
      <w:r w:rsidRPr="0030682B">
        <w:rPr>
          <w:rFonts w:ascii="Libertinus Sans" w:eastAsiaTheme="minorEastAsia" w:hAnsi="Libertinus Sans" w:cs="Libertinus Sans"/>
          <w:color w:val="0070C0"/>
          <w:kern w:val="0"/>
          <w:sz w:val="18"/>
          <w:szCs w:val="18"/>
          <w:lang w:val="en-US"/>
        </w:rPr>
        <w:t xml:space="preserve"> differ in coordination environments that in-turn have a significant impact on storage capacities. </w:t>
      </w:r>
    </w:p>
    <w:p w14:paraId="26ECDDFD" w14:textId="77777777" w:rsidR="003A527F" w:rsidRPr="0030682B" w:rsidRDefault="003A527F"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p>
    <w:p w14:paraId="680D0C26"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eastAsiaTheme="minorEastAsia" w:hAnsi="Libertinus Sans" w:cs="Libertinus Sans"/>
          <w:kern w:val="0"/>
          <w:szCs w:val="22"/>
          <w:lang w:val="en-US"/>
        </w:rPr>
        <w:tab/>
        <w:t xml:space="preserve">Moving to </w:t>
      </w:r>
      <w:r w:rsidRPr="00FD47AC">
        <w:rPr>
          <w:rFonts w:ascii="Libertinus Sans" w:eastAsiaTheme="minorEastAsia" w:hAnsi="Libertinus Sans" w:cs="Libertinus Sans"/>
          <w:b/>
          <w:bCs/>
          <w:kern w:val="0"/>
          <w:szCs w:val="22"/>
          <w:lang w:val="en-US"/>
        </w:rPr>
        <w:t>volumetric storage</w:t>
      </w:r>
      <w:r>
        <w:rPr>
          <w:rFonts w:ascii="Libertinus Sans" w:eastAsiaTheme="minorEastAsia" w:hAnsi="Libertinus Sans" w:cs="Libertinus Sans"/>
          <w:kern w:val="0"/>
          <w:szCs w:val="22"/>
          <w:lang w:val="en-US"/>
        </w:rPr>
        <w:t>, the goal is to balance porosity with the framework density. Excessively long, lightweight linkers which favor gravimetric storage, will lower the volumetric capacity due to reduced packing density. Accordingly, a balanced reward function needs to account for: (</w:t>
      </w:r>
      <w:r w:rsidRPr="009E1E6D">
        <w:rPr>
          <w:rFonts w:ascii="Libertinus Sans" w:eastAsiaTheme="minorEastAsia" w:hAnsi="Libertinus Sans" w:cs="Libertinus Sans"/>
          <w:b/>
          <w:bCs/>
          <w:kern w:val="0"/>
          <w:szCs w:val="22"/>
          <w:lang w:val="en-US"/>
        </w:rPr>
        <w:t>i</w:t>
      </w:r>
      <w:r>
        <w:rPr>
          <w:rFonts w:ascii="Libertinus Sans" w:eastAsiaTheme="minorEastAsia" w:hAnsi="Libertinus Sans" w:cs="Libertinus Sans"/>
          <w:kern w:val="0"/>
          <w:szCs w:val="22"/>
          <w:lang w:val="en-US"/>
        </w:rPr>
        <w:t>) anchor – anchor span; (</w:t>
      </w:r>
      <w:r w:rsidRPr="009E1E6D">
        <w:rPr>
          <w:rFonts w:ascii="Libertinus Sans" w:eastAsiaTheme="minorEastAsia" w:hAnsi="Libertinus Sans" w:cs="Libertinus Sans"/>
          <w:b/>
          <w:bCs/>
          <w:kern w:val="0"/>
          <w:szCs w:val="22"/>
          <w:lang w:val="en-US"/>
        </w:rPr>
        <w:t>ii</w:t>
      </w:r>
      <w:r>
        <w:rPr>
          <w:rFonts w:ascii="Libertinus Sans" w:eastAsiaTheme="minorEastAsia" w:hAnsi="Libertinus Sans" w:cs="Libertinus Sans"/>
          <w:kern w:val="0"/>
          <w:szCs w:val="22"/>
          <w:lang w:val="en-US"/>
        </w:rPr>
        <w:t>) rigidity; (</w:t>
      </w:r>
      <w:r w:rsidRPr="009E1E6D">
        <w:rPr>
          <w:rFonts w:ascii="Libertinus Sans" w:eastAsiaTheme="minorEastAsia" w:hAnsi="Libertinus Sans" w:cs="Libertinus Sans"/>
          <w:b/>
          <w:bCs/>
          <w:kern w:val="0"/>
          <w:szCs w:val="22"/>
          <w:lang w:val="en-US"/>
        </w:rPr>
        <w:t>iii</w:t>
      </w:r>
      <w:r>
        <w:rPr>
          <w:rFonts w:ascii="Libertinus Sans" w:eastAsiaTheme="minorEastAsia" w:hAnsi="Libertinus Sans" w:cs="Libertinus Sans"/>
          <w:kern w:val="0"/>
          <w:szCs w:val="22"/>
          <w:lang w:val="en-US"/>
        </w:rPr>
        <w:t>) symmetry of the linker (or a proxy-thereof); and (</w:t>
      </w:r>
      <w:r w:rsidRPr="009E1E6D">
        <w:rPr>
          <w:rFonts w:ascii="Libertinus Sans" w:eastAsiaTheme="minorEastAsia" w:hAnsi="Libertinus Sans" w:cs="Libertinus Sans"/>
          <w:b/>
          <w:bCs/>
          <w:kern w:val="0"/>
          <w:szCs w:val="22"/>
          <w:lang w:val="en-US"/>
        </w:rPr>
        <w:t>iv</w:t>
      </w:r>
      <w:r>
        <w:rPr>
          <w:rFonts w:ascii="Libertinus Sans" w:eastAsiaTheme="minorEastAsia" w:hAnsi="Libertinus Sans" w:cs="Libertinus Sans"/>
          <w:kern w:val="0"/>
          <w:szCs w:val="22"/>
          <w:lang w:val="en-US"/>
        </w:rPr>
        <w:t>) intermediate molecular weights that avoid excessively heavy (reduces gravimetric capacity) and light (reduces volumetric capacity) linkers. The balanced gas storage reward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gas</m:t>
            </m:r>
          </m:sub>
        </m:sSub>
      </m:oMath>
      <w:r>
        <w:rPr>
          <w:rFonts w:ascii="Libertinus Sans" w:eastAsiaTheme="minorEastAsia" w:hAnsi="Libertinus Sans" w:cs="Libertinus Sans"/>
          <w:kern w:val="0"/>
          <w:szCs w:val="22"/>
          <w:lang w:val="en-US"/>
        </w:rPr>
        <w:t>) is defined as follows:</w:t>
      </w:r>
    </w:p>
    <w:p w14:paraId="5797F475" w14:textId="77777777" w:rsidR="001A3333" w:rsidRDefault="00A3035B"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m:oMathPara>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gas</m:t>
              </m:r>
            </m:sub>
          </m:sSub>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e>
            <m:sub>
              <m:r>
                <w:rPr>
                  <w:rFonts w:ascii="Cambria Math" w:eastAsiaTheme="minorEastAsia" w:hAnsi="Cambria Math" w:cs="Libertinus Sans"/>
                  <w:kern w:val="0"/>
                  <w:szCs w:val="22"/>
                  <w:lang w:val="en-US"/>
                </w:rPr>
                <m:t>1</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anc</m:t>
                  </m:r>
                  <m:r>
                    <w:rPr>
                      <w:rFonts w:ascii="Cambria Math" w:eastAsiaTheme="minorEastAsia" w:hAnsi="Cambria Math" w:cs="Libertinus Sans"/>
                      <w:kern w:val="0"/>
                      <w:szCs w:val="22"/>
                      <w:lang w:val="en-US"/>
                    </w:rPr>
                    <m:t>h</m:t>
                  </m:r>
                  <m:r>
                    <w:rPr>
                      <w:rFonts w:ascii="Cambria Math" w:eastAsiaTheme="minorEastAsia" w:hAnsi="Cambria Math" w:cs="Libertinus Sans"/>
                      <w:kern w:val="0"/>
                      <w:szCs w:val="22"/>
                      <w:lang w:val="en-US"/>
                    </w:rPr>
                    <m:t>or</m:t>
                  </m:r>
                  <m:r>
                    <w:rPr>
                      <w:rFonts w:ascii="Cambria Math" w:eastAsiaTheme="minorEastAsia" w:hAnsi="Cambria Math" w:cs="Libertinus Sans"/>
                      <w:kern w:val="0"/>
                      <w:szCs w:val="22"/>
                      <w:lang w:val="en-US"/>
                    </w:rPr>
                    <m:t>-</m:t>
                  </m:r>
                  <m:r>
                    <w:rPr>
                      <w:rFonts w:ascii="Cambria Math" w:eastAsiaTheme="minorEastAsia" w:hAnsi="Cambria Math" w:cs="Libertinus Sans"/>
                      <w:kern w:val="0"/>
                      <w:szCs w:val="22"/>
                      <w:lang w:val="en-US"/>
                    </w:rPr>
                    <m:t>anc</m:t>
                  </m:r>
                  <m:r>
                    <w:rPr>
                      <w:rFonts w:ascii="Cambria Math" w:eastAsiaTheme="minorEastAsia" w:hAnsi="Cambria Math" w:cs="Libertinus Sans"/>
                      <w:kern w:val="0"/>
                      <w:szCs w:val="22"/>
                      <w:lang w:val="en-US"/>
                    </w:rPr>
                    <m:t>h</m:t>
                  </m:r>
                  <m:r>
                    <w:rPr>
                      <w:rFonts w:ascii="Cambria Math" w:eastAsiaTheme="minorEastAsia" w:hAnsi="Cambria Math" w:cs="Libertinus Sans"/>
                      <w:kern w:val="0"/>
                      <w:szCs w:val="22"/>
                      <w:lang w:val="en-US"/>
                    </w:rPr>
                    <m:t>or</m:t>
                  </m:r>
                </m:sub>
              </m:sSub>
            </m:e>
          </m:d>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e>
            <m:sub>
              <m:r>
                <w:rPr>
                  <w:rFonts w:ascii="Cambria Math" w:eastAsiaTheme="minorEastAsia" w:hAnsi="Cambria Math" w:cs="Libertinus Sans"/>
                  <w:kern w:val="0"/>
                  <w:szCs w:val="22"/>
                  <w:lang w:val="en-US"/>
                </w:rPr>
                <m:t>2</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rigidity</m:t>
                  </m:r>
                </m:sub>
              </m:sSub>
            </m:e>
          </m:d>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e>
            <m:sub>
              <m:r>
                <w:rPr>
                  <w:rFonts w:ascii="Cambria Math" w:eastAsiaTheme="minorEastAsia" w:hAnsi="Cambria Math" w:cs="Libertinus Sans"/>
                  <w:kern w:val="0"/>
                  <w:szCs w:val="22"/>
                  <w:lang w:val="en-US"/>
                </w:rPr>
                <m:t>3</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symmetry</m:t>
                  </m:r>
                </m:sub>
              </m:sSub>
            </m:e>
          </m:d>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e>
            <m:sub>
              <m:r>
                <w:rPr>
                  <w:rFonts w:ascii="Cambria Math" w:eastAsiaTheme="minorEastAsia" w:hAnsi="Cambria Math" w:cs="Libertinus Sans"/>
                  <w:kern w:val="0"/>
                  <w:szCs w:val="22"/>
                  <w:lang w:val="en-US"/>
                </w:rPr>
                <m:t>4</m:t>
              </m:r>
            </m:sub>
          </m:sSub>
          <m:r>
            <w:rPr>
              <w:rFonts w:ascii="Cambria Math" w:eastAsiaTheme="minorEastAsia" w:hAnsi="Cambria Math" w:cs="Libertinus Sans"/>
              <w:kern w:val="0"/>
              <w:szCs w:val="22"/>
              <w:lang w:val="en-US"/>
            </w:rPr>
            <m:t>D</m:t>
          </m:r>
          <m:d>
            <m:dPr>
              <m:ctrlPr>
                <w:rPr>
                  <w:rFonts w:ascii="Cambria Math" w:eastAsiaTheme="minorEastAsia" w:hAnsi="Cambria Math" w:cs="Libertinus Sans"/>
                  <w:i/>
                  <w:kern w:val="0"/>
                  <w:szCs w:val="22"/>
                  <w:lang w:val="en-US"/>
                </w:rPr>
              </m:ctrlPr>
            </m:dPr>
            <m:e>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MW</m:t>
                  </m:r>
                </m:sub>
              </m:sSub>
            </m:e>
          </m:d>
        </m:oMath>
      </m:oMathPara>
    </w:p>
    <w:p w14:paraId="7B8A007F"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eastAsiaTheme="minorEastAsia" w:hAnsi="Libertinus Sans" w:cs="Libertinus Sans"/>
          <w:kern w:val="0"/>
          <w:szCs w:val="22"/>
          <w:lang w:val="en-US"/>
        </w:rPr>
        <w:t xml:space="preserve">Where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symmetry</m:t>
            </m:r>
          </m:sub>
        </m:sSub>
      </m:oMath>
      <w:r>
        <w:rPr>
          <w:rFonts w:ascii="Libertinus Sans" w:eastAsiaTheme="minorEastAsia" w:hAnsi="Libertinus Sans" w:cs="Libertinus Sans"/>
          <w:kern w:val="0"/>
          <w:szCs w:val="22"/>
          <w:lang w:val="en-US"/>
        </w:rPr>
        <w:t xml:space="preserve"> is a measure of similarity of the chemical environment around each anchor using Morgan fingerprints (a proxy for linker symmetry) and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d</m:t>
            </m:r>
          </m:e>
          <m:sub>
            <m:r>
              <w:rPr>
                <w:rFonts w:ascii="Cambria Math" w:eastAsiaTheme="minorEastAsia" w:hAnsi="Cambria Math" w:cs="Libertinus Sans"/>
                <w:kern w:val="0"/>
                <w:szCs w:val="22"/>
                <w:lang w:val="en-US"/>
              </w:rPr>
              <m:t>MW</m:t>
            </m:r>
          </m:sub>
        </m:sSub>
      </m:oMath>
      <w:r>
        <w:rPr>
          <w:rFonts w:ascii="Libertinus Sans" w:eastAsiaTheme="minorEastAsia" w:hAnsi="Libertinus Sans" w:cs="Libertinus Sans"/>
          <w:kern w:val="0"/>
          <w:szCs w:val="22"/>
          <w:lang w:val="en-US"/>
        </w:rPr>
        <w:t xml:space="preserve"> is the molecular weight of the linker passed through a Gaussian desirability function that penalizes extremely heavy and lightweight linker while rewarding linkers with intermediate molecular weights (</w:t>
      </w:r>
      <w:r>
        <w:rPr>
          <w:rFonts w:ascii="Libertinus Sans" w:eastAsiaTheme="minorEastAsia" w:hAnsi="Libertinus Sans" w:cs="Libertinus Sans"/>
          <w:b/>
          <w:bCs/>
          <w:kern w:val="0"/>
          <w:szCs w:val="22"/>
          <w:lang w:val="en-US"/>
        </w:rPr>
        <w:t>Figure F4</w:t>
      </w:r>
      <w:r>
        <w:rPr>
          <w:rFonts w:ascii="Libertinus Sans" w:eastAsiaTheme="minorEastAsia" w:hAnsi="Libertinus Sans" w:cs="Libertinus Sans"/>
          <w:kern w:val="0"/>
          <w:szCs w:val="22"/>
          <w:lang w:val="en-US"/>
        </w:rPr>
        <w:t xml:space="preserve">). Each component is bounded between </w:t>
      </w:r>
      <m:oMath>
        <m:d>
          <m:dPr>
            <m:begChr m:val="["/>
            <m:endChr m:val="]"/>
            <m:ctrlPr>
              <w:rPr>
                <w:rFonts w:ascii="Cambria Math" w:eastAsiaTheme="minorEastAsia" w:hAnsi="Cambria Math" w:cs="Libertinus Sans"/>
                <w:i/>
                <w:kern w:val="0"/>
                <w:szCs w:val="22"/>
                <w:lang w:val="en-US"/>
              </w:rPr>
            </m:ctrlPr>
          </m:dPr>
          <m:e>
            <m:r>
              <w:rPr>
                <w:rFonts w:ascii="Cambria Math" w:eastAsiaTheme="minorEastAsia" w:hAnsi="Cambria Math" w:cs="Libertinus Sans"/>
                <w:kern w:val="0"/>
                <w:szCs w:val="22"/>
                <w:lang w:val="en-US"/>
              </w:rPr>
              <m:t>0.05, 0.95</m:t>
            </m:r>
          </m:e>
        </m:d>
      </m:oMath>
      <w:r>
        <w:rPr>
          <w:rFonts w:ascii="Libertinus Sans" w:eastAsiaTheme="minorEastAsia" w:hAnsi="Libertinus Sans" w:cs="Libertinus Sans"/>
          <w:kern w:val="0"/>
          <w:szCs w:val="22"/>
          <w:lang w:val="en-US"/>
        </w:rPr>
        <w:t xml:space="preserve"> and the parameters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1</m:t>
            </m:r>
          </m:sub>
        </m:sSub>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e>
          <m:sub>
            <m:r>
              <w:rPr>
                <w:rFonts w:ascii="Cambria Math" w:eastAsiaTheme="minorEastAsia" w:hAnsi="Cambria Math" w:cs="Libertinus Sans"/>
                <w:kern w:val="0"/>
                <w:szCs w:val="22"/>
                <w:lang w:val="en-US"/>
              </w:rPr>
              <m:t>4</m:t>
            </m:r>
          </m:sub>
        </m:sSub>
      </m:oMath>
      <w:r>
        <w:rPr>
          <w:rFonts w:ascii="Libertinus Sans" w:eastAsiaTheme="minorEastAsia" w:hAnsi="Libertinus Sans" w:cs="Libertinus Sans"/>
          <w:kern w:val="0"/>
          <w:szCs w:val="22"/>
          <w:lang w:val="en-US"/>
        </w:rPr>
        <w:t xml:space="preserve"> are tunable.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gas</m:t>
            </m:r>
          </m:sub>
        </m:sSub>
      </m:oMath>
      <w:r>
        <w:rPr>
          <w:rFonts w:ascii="Libertinus Sans" w:eastAsiaTheme="minorEastAsia" w:hAnsi="Libertinus Sans" w:cs="Libertinus Sans"/>
          <w:kern w:val="0"/>
          <w:szCs w:val="22"/>
          <w:lang w:val="en-US"/>
        </w:rPr>
        <w:t xml:space="preserve"> is similarly bounded between </w:t>
      </w:r>
      <m:oMath>
        <m:d>
          <m:dPr>
            <m:begChr m:val="["/>
            <m:endChr m:val="]"/>
            <m:ctrlPr>
              <w:rPr>
                <w:rFonts w:ascii="Cambria Math" w:eastAsiaTheme="minorEastAsia" w:hAnsi="Cambria Math" w:cs="Libertinus Sans"/>
                <w:i/>
                <w:kern w:val="0"/>
                <w:szCs w:val="22"/>
                <w:lang w:val="en-US"/>
              </w:rPr>
            </m:ctrlPr>
          </m:dPr>
          <m:e>
            <m:r>
              <w:rPr>
                <w:rFonts w:ascii="Cambria Math" w:eastAsiaTheme="minorEastAsia" w:hAnsi="Cambria Math" w:cs="Libertinus Sans"/>
                <w:kern w:val="0"/>
                <w:szCs w:val="22"/>
                <w:lang w:val="en-US"/>
              </w:rPr>
              <m:t>0.05, 0.95</m:t>
            </m:r>
          </m:e>
        </m:d>
      </m:oMath>
      <w:r>
        <w:rPr>
          <w:rFonts w:ascii="Libertinus Sans" w:eastAsiaTheme="minorEastAsia" w:hAnsi="Libertinus Sans" w:cs="Libertinus Sans"/>
          <w:kern w:val="0"/>
          <w:szCs w:val="22"/>
          <w:lang w:val="en-US"/>
        </w:rPr>
        <w:t>, with higher values suggesting an increased applicability for gas storage. We note here that several parameters (especially the Gaussian desirability function) may need to be tuned to the system of interest.</w:t>
      </w:r>
    </w:p>
    <w:p w14:paraId="7841F9BA" w14:textId="77777777" w:rsidR="001A3333" w:rsidRPr="004A4E9E" w:rsidRDefault="003A527F"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noProof/>
        </w:rPr>
        <w:lastRenderedPageBreak/>
        <mc:AlternateContent>
          <mc:Choice Requires="wps">
            <w:drawing>
              <wp:anchor distT="0" distB="0" distL="114300" distR="114300" simplePos="0" relativeHeight="251666432" behindDoc="0" locked="0" layoutInCell="1" allowOverlap="1" wp14:anchorId="389F927F" wp14:editId="3C2125E4">
                <wp:simplePos x="0" y="0"/>
                <wp:positionH relativeFrom="column">
                  <wp:posOffset>3369310</wp:posOffset>
                </wp:positionH>
                <wp:positionV relativeFrom="paragraph">
                  <wp:posOffset>2529205</wp:posOffset>
                </wp:positionV>
                <wp:extent cx="2654300" cy="635"/>
                <wp:effectExtent l="0" t="0" r="0" b="12065"/>
                <wp:wrapSquare wrapText="bothSides"/>
                <wp:docPr id="655033051" name="Text Box 1"/>
                <wp:cNvGraphicFramePr/>
                <a:graphic xmlns:a="http://schemas.openxmlformats.org/drawingml/2006/main">
                  <a:graphicData uri="http://schemas.microsoft.com/office/word/2010/wordprocessingShape">
                    <wps:wsp>
                      <wps:cNvSpPr txBox="1"/>
                      <wps:spPr>
                        <a:xfrm>
                          <a:off x="0" y="0"/>
                          <a:ext cx="2654300" cy="635"/>
                        </a:xfrm>
                        <a:prstGeom prst="rect">
                          <a:avLst/>
                        </a:prstGeom>
                        <a:solidFill>
                          <a:prstClr val="white"/>
                        </a:solidFill>
                        <a:ln>
                          <a:noFill/>
                        </a:ln>
                      </wps:spPr>
                      <wps:txbx>
                        <w:txbxContent>
                          <w:p w14:paraId="3C607290" w14:textId="77777777" w:rsidR="003A527F" w:rsidRPr="003A527F" w:rsidRDefault="003A527F" w:rsidP="003A527F">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sidRPr="0030682B">
                              <w:rPr>
                                <w:rFonts w:ascii="Libertinus Sans" w:hAnsi="Libertinus Sans" w:cs="Libertinus Sans"/>
                                <w:b/>
                                <w:bCs/>
                                <w:color w:val="0070C0"/>
                                <w:kern w:val="0"/>
                                <w:sz w:val="18"/>
                                <w:szCs w:val="18"/>
                                <w:lang w:val="en-US"/>
                              </w:rPr>
                              <w:t xml:space="preserve">Figure F4. </w:t>
                            </w:r>
                            <w:r w:rsidRPr="0030682B">
                              <w:rPr>
                                <w:rFonts w:ascii="Libertinus Sans" w:hAnsi="Libertinus Sans" w:cs="Libertinus Sans"/>
                                <w:color w:val="0070C0"/>
                                <w:kern w:val="0"/>
                                <w:sz w:val="18"/>
                                <w:szCs w:val="18"/>
                                <w:lang w:val="en-US"/>
                              </w:rPr>
                              <w:t>Distribution of the molecular weight of molecules from the training dataset (n = 250000)</w:t>
                            </w:r>
                            <w:r w:rsidRPr="0030682B">
                              <w:rPr>
                                <w:rFonts w:ascii="Libertinus Sans" w:eastAsiaTheme="minorEastAsia" w:hAnsi="Libertinus Sans" w:cs="Libertinus Sans"/>
                                <w:color w:val="0070C0"/>
                                <w:kern w:val="0"/>
                                <w:sz w:val="18"/>
                                <w:szCs w:val="18"/>
                                <w:lang w:val="en-US"/>
                              </w:rPr>
                              <w:t>. The distribution</w:t>
                            </w:r>
                            <w:r w:rsidR="002B7E5D">
                              <w:rPr>
                                <w:rFonts w:ascii="Libertinus Sans" w:eastAsiaTheme="minorEastAsia" w:hAnsi="Libertinus Sans" w:cs="Libertinus Sans"/>
                                <w:color w:val="0070C0"/>
                                <w:kern w:val="0"/>
                                <w:sz w:val="18"/>
                                <w:szCs w:val="18"/>
                                <w:lang w:val="en-US"/>
                              </w:rPr>
                              <w:t xml:space="preserve"> </w:t>
                            </w:r>
                            <w:r w:rsidRPr="0030682B">
                              <w:rPr>
                                <w:rFonts w:ascii="Libertinus Sans" w:eastAsiaTheme="minorEastAsia" w:hAnsi="Libertinus Sans" w:cs="Libertinus Sans"/>
                                <w:color w:val="0070C0"/>
                                <w:kern w:val="0"/>
                                <w:sz w:val="18"/>
                                <w:szCs w:val="18"/>
                                <w:lang w:val="en-US"/>
                              </w:rPr>
                              <w:t>follows an expected trend with a mode around 250 g</w:t>
                            </w:r>
                            <w:r w:rsidR="002B7E5D">
                              <w:rPr>
                                <w:rFonts w:ascii="Libertinus Sans" w:eastAsiaTheme="minorEastAsia" w:hAnsi="Libertinus Sans" w:cs="Libertinus Sans"/>
                                <w:color w:val="0070C0"/>
                                <w:kern w:val="0"/>
                                <w:sz w:val="18"/>
                                <w:szCs w:val="18"/>
                                <w:lang w:val="en-US"/>
                              </w:rPr>
                              <w:t xml:space="preserve"> </w:t>
                            </w:r>
                            <w:r w:rsidRPr="0030682B">
                              <w:rPr>
                                <w:rFonts w:ascii="Libertinus Sans" w:eastAsiaTheme="minorEastAsia" w:hAnsi="Libertinus Sans" w:cs="Libertinus Sans"/>
                                <w:color w:val="0070C0"/>
                                <w:kern w:val="0"/>
                                <w:sz w:val="18"/>
                                <w:szCs w:val="18"/>
                                <w:lang w:val="en-US"/>
                              </w:rPr>
                              <w:t>mol</w:t>
                            </w:r>
                            <w:r w:rsidR="002B7E5D" w:rsidRPr="002B7E5D">
                              <w:rPr>
                                <w:rFonts w:ascii="Libertinus Sans" w:eastAsiaTheme="minorEastAsia" w:hAnsi="Libertinus Sans" w:cs="Libertinus Sans"/>
                                <w:color w:val="0070C0"/>
                                <w:kern w:val="0"/>
                                <w:sz w:val="18"/>
                                <w:szCs w:val="18"/>
                                <w:vertAlign w:val="superscript"/>
                                <w:lang w:val="en-US"/>
                              </w:rPr>
                              <w:t>-1</w:t>
                            </w:r>
                            <w:r w:rsidRPr="0030682B">
                              <w:rPr>
                                <w:rFonts w:ascii="Libertinus Sans" w:eastAsiaTheme="minorEastAsia" w:hAnsi="Libertinus Sans" w:cs="Libertinus Sans"/>
                                <w:color w:val="0070C0"/>
                                <w:kern w:val="0"/>
                                <w:sz w:val="18"/>
                                <w:szCs w:val="18"/>
                                <w:lang w:val="en-US"/>
                              </w:rPr>
                              <w:t xml:space="preserve">, median of 312 </w:t>
                            </w:r>
                            <w:r w:rsidR="002B7E5D" w:rsidRPr="0030682B">
                              <w:rPr>
                                <w:rFonts w:ascii="Libertinus Sans" w:eastAsiaTheme="minorEastAsia" w:hAnsi="Libertinus Sans" w:cs="Libertinus Sans"/>
                                <w:color w:val="0070C0"/>
                                <w:kern w:val="0"/>
                                <w:sz w:val="18"/>
                                <w:szCs w:val="18"/>
                                <w:lang w:val="en-US"/>
                              </w:rPr>
                              <w:t>g</w:t>
                            </w:r>
                            <w:r w:rsidR="002B7E5D">
                              <w:rPr>
                                <w:rFonts w:ascii="Libertinus Sans" w:eastAsiaTheme="minorEastAsia" w:hAnsi="Libertinus Sans" w:cs="Libertinus Sans"/>
                                <w:color w:val="0070C0"/>
                                <w:kern w:val="0"/>
                                <w:sz w:val="18"/>
                                <w:szCs w:val="18"/>
                                <w:lang w:val="en-US"/>
                              </w:rPr>
                              <w:t xml:space="preserve"> </w:t>
                            </w:r>
                            <w:r w:rsidR="002B7E5D" w:rsidRPr="0030682B">
                              <w:rPr>
                                <w:rFonts w:ascii="Libertinus Sans" w:eastAsiaTheme="minorEastAsia" w:hAnsi="Libertinus Sans" w:cs="Libertinus Sans"/>
                                <w:color w:val="0070C0"/>
                                <w:kern w:val="0"/>
                                <w:sz w:val="18"/>
                                <w:szCs w:val="18"/>
                                <w:lang w:val="en-US"/>
                              </w:rPr>
                              <w:t>mol</w:t>
                            </w:r>
                            <w:r w:rsidR="002B7E5D" w:rsidRPr="002B7E5D">
                              <w:rPr>
                                <w:rFonts w:ascii="Libertinus Sans" w:eastAsiaTheme="minorEastAsia" w:hAnsi="Libertinus Sans" w:cs="Libertinus Sans"/>
                                <w:color w:val="0070C0"/>
                                <w:kern w:val="0"/>
                                <w:sz w:val="18"/>
                                <w:szCs w:val="18"/>
                                <w:vertAlign w:val="superscript"/>
                                <w:lang w:val="en-US"/>
                              </w:rPr>
                              <w:t>-1</w:t>
                            </w:r>
                            <w:r w:rsidRPr="0030682B">
                              <w:rPr>
                                <w:rFonts w:ascii="Libertinus Sans" w:eastAsiaTheme="minorEastAsia" w:hAnsi="Libertinus Sans" w:cs="Libertinus Sans"/>
                                <w:color w:val="0070C0"/>
                                <w:kern w:val="0"/>
                                <w:sz w:val="18"/>
                                <w:szCs w:val="18"/>
                                <w:lang w:val="en-US"/>
                              </w:rPr>
                              <w:t xml:space="preserve"> and a long tail that extends past 1250 </w:t>
                            </w:r>
                            <w:r w:rsidR="002B7E5D" w:rsidRPr="0030682B">
                              <w:rPr>
                                <w:rFonts w:ascii="Libertinus Sans" w:eastAsiaTheme="minorEastAsia" w:hAnsi="Libertinus Sans" w:cs="Libertinus Sans"/>
                                <w:color w:val="0070C0"/>
                                <w:kern w:val="0"/>
                                <w:sz w:val="18"/>
                                <w:szCs w:val="18"/>
                                <w:lang w:val="en-US"/>
                              </w:rPr>
                              <w:t>g</w:t>
                            </w:r>
                            <w:r w:rsidR="002B7E5D">
                              <w:rPr>
                                <w:rFonts w:ascii="Libertinus Sans" w:eastAsiaTheme="minorEastAsia" w:hAnsi="Libertinus Sans" w:cs="Libertinus Sans"/>
                                <w:color w:val="0070C0"/>
                                <w:kern w:val="0"/>
                                <w:sz w:val="18"/>
                                <w:szCs w:val="18"/>
                                <w:lang w:val="en-US"/>
                              </w:rPr>
                              <w:t xml:space="preserve"> </w:t>
                            </w:r>
                            <w:r w:rsidR="002B7E5D" w:rsidRPr="0030682B">
                              <w:rPr>
                                <w:rFonts w:ascii="Libertinus Sans" w:eastAsiaTheme="minorEastAsia" w:hAnsi="Libertinus Sans" w:cs="Libertinus Sans"/>
                                <w:color w:val="0070C0"/>
                                <w:kern w:val="0"/>
                                <w:sz w:val="18"/>
                                <w:szCs w:val="18"/>
                                <w:lang w:val="en-US"/>
                              </w:rPr>
                              <w:t>mol</w:t>
                            </w:r>
                            <w:r w:rsidR="002B7E5D" w:rsidRPr="002B7E5D">
                              <w:rPr>
                                <w:rFonts w:ascii="Libertinus Sans" w:eastAsiaTheme="minorEastAsia" w:hAnsi="Libertinus Sans" w:cs="Libertinus Sans"/>
                                <w:color w:val="0070C0"/>
                                <w:kern w:val="0"/>
                                <w:sz w:val="18"/>
                                <w:szCs w:val="18"/>
                                <w:vertAlign w:val="superscript"/>
                                <w:lang w:val="en-US"/>
                              </w:rPr>
                              <w:t>-1</w:t>
                            </w:r>
                            <w:r w:rsidRPr="0030682B">
                              <w:rPr>
                                <w:rFonts w:ascii="Libertinus Sans" w:eastAsiaTheme="minorEastAsia" w:hAnsi="Libertinus Sans" w:cs="Libertinus Sans"/>
                                <w:color w:val="0070C0"/>
                                <w:kern w:val="0"/>
                                <w:sz w:val="18"/>
                                <w:szCs w:val="18"/>
                                <w:lang w:val="en-US"/>
                              </w:rPr>
                              <w:t xml:space="preserve">. Ideal linkers for gas storage should adopt intermediate molecular weights – i.e., not too light to </w:t>
                            </w:r>
                            <w:r w:rsidR="002B7E5D">
                              <w:rPr>
                                <w:rFonts w:ascii="Libertinus Sans" w:eastAsiaTheme="minorEastAsia" w:hAnsi="Libertinus Sans" w:cs="Libertinus Sans"/>
                                <w:color w:val="0070C0"/>
                                <w:kern w:val="0"/>
                                <w:sz w:val="18"/>
                                <w:szCs w:val="18"/>
                                <w:lang w:val="en-US"/>
                              </w:rPr>
                              <w:t>favor</w:t>
                            </w:r>
                            <w:r w:rsidRPr="0030682B">
                              <w:rPr>
                                <w:rFonts w:ascii="Libertinus Sans" w:eastAsiaTheme="minorEastAsia" w:hAnsi="Libertinus Sans" w:cs="Libertinus Sans"/>
                                <w:color w:val="0070C0"/>
                                <w:kern w:val="0"/>
                                <w:sz w:val="18"/>
                                <w:szCs w:val="18"/>
                                <w:lang w:val="en-US"/>
                              </w:rPr>
                              <w:t xml:space="preserve"> low </w:t>
                            </w:r>
                            <w:r w:rsidR="002B7E5D">
                              <w:rPr>
                                <w:rFonts w:ascii="Libertinus Sans" w:eastAsiaTheme="minorEastAsia" w:hAnsi="Libertinus Sans" w:cs="Libertinus Sans"/>
                                <w:color w:val="0070C0"/>
                                <w:kern w:val="0"/>
                                <w:sz w:val="18"/>
                                <w:szCs w:val="18"/>
                                <w:lang w:val="en-US"/>
                              </w:rPr>
                              <w:t xml:space="preserve">framework </w:t>
                            </w:r>
                            <w:r w:rsidRPr="0030682B">
                              <w:rPr>
                                <w:rFonts w:ascii="Libertinus Sans" w:eastAsiaTheme="minorEastAsia" w:hAnsi="Libertinus Sans" w:cs="Libertinus Sans"/>
                                <w:color w:val="0070C0"/>
                                <w:kern w:val="0"/>
                                <w:sz w:val="18"/>
                                <w:szCs w:val="18"/>
                                <w:lang w:val="en-US"/>
                              </w:rPr>
                              <w:t xml:space="preserve">densities yet not too heavy to </w:t>
                            </w:r>
                            <w:r w:rsidR="002B7E5D">
                              <w:rPr>
                                <w:rFonts w:ascii="Libertinus Sans" w:eastAsiaTheme="minorEastAsia" w:hAnsi="Libertinus Sans" w:cs="Libertinus Sans"/>
                                <w:color w:val="0070C0"/>
                                <w:kern w:val="0"/>
                                <w:sz w:val="18"/>
                                <w:szCs w:val="18"/>
                                <w:lang w:val="en-US"/>
                              </w:rPr>
                              <w:t>favor</w:t>
                            </w:r>
                            <w:r w:rsidRPr="0030682B">
                              <w:rPr>
                                <w:rFonts w:ascii="Libertinus Sans" w:eastAsiaTheme="minorEastAsia" w:hAnsi="Libertinus Sans" w:cs="Libertinus Sans"/>
                                <w:color w:val="0070C0"/>
                                <w:kern w:val="0"/>
                                <w:sz w:val="18"/>
                                <w:szCs w:val="18"/>
                                <w:lang w:val="en-US"/>
                              </w:rPr>
                              <w:t xml:space="preserve"> </w:t>
                            </w:r>
                            <w:r w:rsidR="002B7E5D">
                              <w:rPr>
                                <w:rFonts w:ascii="Libertinus Sans" w:eastAsiaTheme="minorEastAsia" w:hAnsi="Libertinus Sans" w:cs="Libertinus Sans"/>
                                <w:color w:val="0070C0"/>
                                <w:kern w:val="0"/>
                                <w:sz w:val="18"/>
                                <w:szCs w:val="18"/>
                                <w:lang w:val="en-US"/>
                              </w:rPr>
                              <w:t>high</w:t>
                            </w:r>
                            <w:r w:rsidRPr="0030682B">
                              <w:rPr>
                                <w:rFonts w:ascii="Libertinus Sans" w:eastAsiaTheme="minorEastAsia" w:hAnsi="Libertinus Sans" w:cs="Libertinus Sans"/>
                                <w:color w:val="0070C0"/>
                                <w:kern w:val="0"/>
                                <w:sz w:val="18"/>
                                <w:szCs w:val="18"/>
                                <w:lang w:val="en-US"/>
                              </w:rPr>
                              <w:t xml:space="preserve"> densities. We thus define a Gaussian desirability function (centered around 320 g/mol) with a width of 140 g/mol that rewards these intermediate values while penalizing extremes.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9F927F" id="_x0000_s1027" type="#_x0000_t202" style="position:absolute;left:0;text-align:left;margin-left:265.3pt;margin-top:199.15pt;width:209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" stroked="f">
                <v:textbox style="mso-fit-shape-to-text:t" inset="0,0,0,0">
                  <w:txbxContent>
                    <w:p w14:paraId="3C607290" w14:textId="77777777" w:rsidR="003A527F" w:rsidRPr="003A527F" w:rsidRDefault="003A527F" w:rsidP="003A527F">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sidRPr="0030682B">
                        <w:rPr>
                          <w:rFonts w:ascii="Libertinus Sans" w:hAnsi="Libertinus Sans" w:cs="Libertinus Sans"/>
                          <w:b/>
                          <w:bCs/>
                          <w:color w:val="0070C0"/>
                          <w:kern w:val="0"/>
                          <w:sz w:val="18"/>
                          <w:szCs w:val="18"/>
                          <w:lang w:val="en-US"/>
                        </w:rPr>
                        <w:t xml:space="preserve">Figure F4. </w:t>
                      </w:r>
                      <w:r w:rsidRPr="0030682B">
                        <w:rPr>
                          <w:rFonts w:ascii="Libertinus Sans" w:hAnsi="Libertinus Sans" w:cs="Libertinus Sans"/>
                          <w:color w:val="0070C0"/>
                          <w:kern w:val="0"/>
                          <w:sz w:val="18"/>
                          <w:szCs w:val="18"/>
                          <w:lang w:val="en-US"/>
                        </w:rPr>
                        <w:t>Distribution of the molecular weight of molecules from the training dataset (n = 250000)</w:t>
                      </w:r>
                      <w:r w:rsidRPr="0030682B">
                        <w:rPr>
                          <w:rFonts w:ascii="Libertinus Sans" w:eastAsiaTheme="minorEastAsia" w:hAnsi="Libertinus Sans" w:cs="Libertinus Sans"/>
                          <w:color w:val="0070C0"/>
                          <w:kern w:val="0"/>
                          <w:sz w:val="18"/>
                          <w:szCs w:val="18"/>
                          <w:lang w:val="en-US"/>
                        </w:rPr>
                        <w:t>. The distribution</w:t>
                      </w:r>
                      <w:r w:rsidR="002B7E5D">
                        <w:rPr>
                          <w:rFonts w:ascii="Libertinus Sans" w:eastAsiaTheme="minorEastAsia" w:hAnsi="Libertinus Sans" w:cs="Libertinus Sans"/>
                          <w:color w:val="0070C0"/>
                          <w:kern w:val="0"/>
                          <w:sz w:val="18"/>
                          <w:szCs w:val="18"/>
                          <w:lang w:val="en-US"/>
                        </w:rPr>
                        <w:t xml:space="preserve"> </w:t>
                      </w:r>
                      <w:r w:rsidRPr="0030682B">
                        <w:rPr>
                          <w:rFonts w:ascii="Libertinus Sans" w:eastAsiaTheme="minorEastAsia" w:hAnsi="Libertinus Sans" w:cs="Libertinus Sans"/>
                          <w:color w:val="0070C0"/>
                          <w:kern w:val="0"/>
                          <w:sz w:val="18"/>
                          <w:szCs w:val="18"/>
                          <w:lang w:val="en-US"/>
                        </w:rPr>
                        <w:t>follows an expected trend with a mode around 250 g</w:t>
                      </w:r>
                      <w:r w:rsidR="002B7E5D">
                        <w:rPr>
                          <w:rFonts w:ascii="Libertinus Sans" w:eastAsiaTheme="minorEastAsia" w:hAnsi="Libertinus Sans" w:cs="Libertinus Sans"/>
                          <w:color w:val="0070C0"/>
                          <w:kern w:val="0"/>
                          <w:sz w:val="18"/>
                          <w:szCs w:val="18"/>
                          <w:lang w:val="en-US"/>
                        </w:rPr>
                        <w:t xml:space="preserve"> </w:t>
                      </w:r>
                      <w:r w:rsidRPr="0030682B">
                        <w:rPr>
                          <w:rFonts w:ascii="Libertinus Sans" w:eastAsiaTheme="minorEastAsia" w:hAnsi="Libertinus Sans" w:cs="Libertinus Sans"/>
                          <w:color w:val="0070C0"/>
                          <w:kern w:val="0"/>
                          <w:sz w:val="18"/>
                          <w:szCs w:val="18"/>
                          <w:lang w:val="en-US"/>
                        </w:rPr>
                        <w:t>mol</w:t>
                      </w:r>
                      <w:r w:rsidR="002B7E5D" w:rsidRPr="002B7E5D">
                        <w:rPr>
                          <w:rFonts w:ascii="Libertinus Sans" w:eastAsiaTheme="minorEastAsia" w:hAnsi="Libertinus Sans" w:cs="Libertinus Sans"/>
                          <w:color w:val="0070C0"/>
                          <w:kern w:val="0"/>
                          <w:sz w:val="18"/>
                          <w:szCs w:val="18"/>
                          <w:vertAlign w:val="superscript"/>
                          <w:lang w:val="en-US"/>
                        </w:rPr>
                        <w:t>-1</w:t>
                      </w:r>
                      <w:r w:rsidRPr="0030682B">
                        <w:rPr>
                          <w:rFonts w:ascii="Libertinus Sans" w:eastAsiaTheme="minorEastAsia" w:hAnsi="Libertinus Sans" w:cs="Libertinus Sans"/>
                          <w:color w:val="0070C0"/>
                          <w:kern w:val="0"/>
                          <w:sz w:val="18"/>
                          <w:szCs w:val="18"/>
                          <w:lang w:val="en-US"/>
                        </w:rPr>
                        <w:t xml:space="preserve">, median of 312 </w:t>
                      </w:r>
                      <w:r w:rsidR="002B7E5D" w:rsidRPr="0030682B">
                        <w:rPr>
                          <w:rFonts w:ascii="Libertinus Sans" w:eastAsiaTheme="minorEastAsia" w:hAnsi="Libertinus Sans" w:cs="Libertinus Sans"/>
                          <w:color w:val="0070C0"/>
                          <w:kern w:val="0"/>
                          <w:sz w:val="18"/>
                          <w:szCs w:val="18"/>
                          <w:lang w:val="en-US"/>
                        </w:rPr>
                        <w:t>g</w:t>
                      </w:r>
                      <w:r w:rsidR="002B7E5D">
                        <w:rPr>
                          <w:rFonts w:ascii="Libertinus Sans" w:eastAsiaTheme="minorEastAsia" w:hAnsi="Libertinus Sans" w:cs="Libertinus Sans"/>
                          <w:color w:val="0070C0"/>
                          <w:kern w:val="0"/>
                          <w:sz w:val="18"/>
                          <w:szCs w:val="18"/>
                          <w:lang w:val="en-US"/>
                        </w:rPr>
                        <w:t xml:space="preserve"> </w:t>
                      </w:r>
                      <w:r w:rsidR="002B7E5D" w:rsidRPr="0030682B">
                        <w:rPr>
                          <w:rFonts w:ascii="Libertinus Sans" w:eastAsiaTheme="minorEastAsia" w:hAnsi="Libertinus Sans" w:cs="Libertinus Sans"/>
                          <w:color w:val="0070C0"/>
                          <w:kern w:val="0"/>
                          <w:sz w:val="18"/>
                          <w:szCs w:val="18"/>
                          <w:lang w:val="en-US"/>
                        </w:rPr>
                        <w:t>mol</w:t>
                      </w:r>
                      <w:r w:rsidR="002B7E5D" w:rsidRPr="002B7E5D">
                        <w:rPr>
                          <w:rFonts w:ascii="Libertinus Sans" w:eastAsiaTheme="minorEastAsia" w:hAnsi="Libertinus Sans" w:cs="Libertinus Sans"/>
                          <w:color w:val="0070C0"/>
                          <w:kern w:val="0"/>
                          <w:sz w:val="18"/>
                          <w:szCs w:val="18"/>
                          <w:vertAlign w:val="superscript"/>
                          <w:lang w:val="en-US"/>
                        </w:rPr>
                        <w:t>-1</w:t>
                      </w:r>
                      <w:r w:rsidRPr="0030682B">
                        <w:rPr>
                          <w:rFonts w:ascii="Libertinus Sans" w:eastAsiaTheme="minorEastAsia" w:hAnsi="Libertinus Sans" w:cs="Libertinus Sans"/>
                          <w:color w:val="0070C0"/>
                          <w:kern w:val="0"/>
                          <w:sz w:val="18"/>
                          <w:szCs w:val="18"/>
                          <w:lang w:val="en-US"/>
                        </w:rPr>
                        <w:t xml:space="preserve"> and a long tail that extends past 1250 </w:t>
                      </w:r>
                      <w:r w:rsidR="002B7E5D" w:rsidRPr="0030682B">
                        <w:rPr>
                          <w:rFonts w:ascii="Libertinus Sans" w:eastAsiaTheme="minorEastAsia" w:hAnsi="Libertinus Sans" w:cs="Libertinus Sans"/>
                          <w:color w:val="0070C0"/>
                          <w:kern w:val="0"/>
                          <w:sz w:val="18"/>
                          <w:szCs w:val="18"/>
                          <w:lang w:val="en-US"/>
                        </w:rPr>
                        <w:t>g</w:t>
                      </w:r>
                      <w:r w:rsidR="002B7E5D">
                        <w:rPr>
                          <w:rFonts w:ascii="Libertinus Sans" w:eastAsiaTheme="minorEastAsia" w:hAnsi="Libertinus Sans" w:cs="Libertinus Sans"/>
                          <w:color w:val="0070C0"/>
                          <w:kern w:val="0"/>
                          <w:sz w:val="18"/>
                          <w:szCs w:val="18"/>
                          <w:lang w:val="en-US"/>
                        </w:rPr>
                        <w:t xml:space="preserve"> </w:t>
                      </w:r>
                      <w:r w:rsidR="002B7E5D" w:rsidRPr="0030682B">
                        <w:rPr>
                          <w:rFonts w:ascii="Libertinus Sans" w:eastAsiaTheme="minorEastAsia" w:hAnsi="Libertinus Sans" w:cs="Libertinus Sans"/>
                          <w:color w:val="0070C0"/>
                          <w:kern w:val="0"/>
                          <w:sz w:val="18"/>
                          <w:szCs w:val="18"/>
                          <w:lang w:val="en-US"/>
                        </w:rPr>
                        <w:t>mol</w:t>
                      </w:r>
                      <w:r w:rsidR="002B7E5D" w:rsidRPr="002B7E5D">
                        <w:rPr>
                          <w:rFonts w:ascii="Libertinus Sans" w:eastAsiaTheme="minorEastAsia" w:hAnsi="Libertinus Sans" w:cs="Libertinus Sans"/>
                          <w:color w:val="0070C0"/>
                          <w:kern w:val="0"/>
                          <w:sz w:val="18"/>
                          <w:szCs w:val="18"/>
                          <w:vertAlign w:val="superscript"/>
                          <w:lang w:val="en-US"/>
                        </w:rPr>
                        <w:t>-1</w:t>
                      </w:r>
                      <w:r w:rsidRPr="0030682B">
                        <w:rPr>
                          <w:rFonts w:ascii="Libertinus Sans" w:eastAsiaTheme="minorEastAsia" w:hAnsi="Libertinus Sans" w:cs="Libertinus Sans"/>
                          <w:color w:val="0070C0"/>
                          <w:kern w:val="0"/>
                          <w:sz w:val="18"/>
                          <w:szCs w:val="18"/>
                          <w:lang w:val="en-US"/>
                        </w:rPr>
                        <w:t xml:space="preserve">. Ideal linkers for gas storage should adopt intermediate molecular weights – i.e., not too light to </w:t>
                      </w:r>
                      <w:r w:rsidR="002B7E5D">
                        <w:rPr>
                          <w:rFonts w:ascii="Libertinus Sans" w:eastAsiaTheme="minorEastAsia" w:hAnsi="Libertinus Sans" w:cs="Libertinus Sans"/>
                          <w:color w:val="0070C0"/>
                          <w:kern w:val="0"/>
                          <w:sz w:val="18"/>
                          <w:szCs w:val="18"/>
                          <w:lang w:val="en-US"/>
                        </w:rPr>
                        <w:t>favor</w:t>
                      </w:r>
                      <w:r w:rsidRPr="0030682B">
                        <w:rPr>
                          <w:rFonts w:ascii="Libertinus Sans" w:eastAsiaTheme="minorEastAsia" w:hAnsi="Libertinus Sans" w:cs="Libertinus Sans"/>
                          <w:color w:val="0070C0"/>
                          <w:kern w:val="0"/>
                          <w:sz w:val="18"/>
                          <w:szCs w:val="18"/>
                          <w:lang w:val="en-US"/>
                        </w:rPr>
                        <w:t xml:space="preserve"> low </w:t>
                      </w:r>
                      <w:r w:rsidR="002B7E5D">
                        <w:rPr>
                          <w:rFonts w:ascii="Libertinus Sans" w:eastAsiaTheme="minorEastAsia" w:hAnsi="Libertinus Sans" w:cs="Libertinus Sans"/>
                          <w:color w:val="0070C0"/>
                          <w:kern w:val="0"/>
                          <w:sz w:val="18"/>
                          <w:szCs w:val="18"/>
                          <w:lang w:val="en-US"/>
                        </w:rPr>
                        <w:t xml:space="preserve">framework </w:t>
                      </w:r>
                      <w:r w:rsidRPr="0030682B">
                        <w:rPr>
                          <w:rFonts w:ascii="Libertinus Sans" w:eastAsiaTheme="minorEastAsia" w:hAnsi="Libertinus Sans" w:cs="Libertinus Sans"/>
                          <w:color w:val="0070C0"/>
                          <w:kern w:val="0"/>
                          <w:sz w:val="18"/>
                          <w:szCs w:val="18"/>
                          <w:lang w:val="en-US"/>
                        </w:rPr>
                        <w:t xml:space="preserve">densities yet not too heavy to </w:t>
                      </w:r>
                      <w:r w:rsidR="002B7E5D">
                        <w:rPr>
                          <w:rFonts w:ascii="Libertinus Sans" w:eastAsiaTheme="minorEastAsia" w:hAnsi="Libertinus Sans" w:cs="Libertinus Sans"/>
                          <w:color w:val="0070C0"/>
                          <w:kern w:val="0"/>
                          <w:sz w:val="18"/>
                          <w:szCs w:val="18"/>
                          <w:lang w:val="en-US"/>
                        </w:rPr>
                        <w:t>favor</w:t>
                      </w:r>
                      <w:r w:rsidRPr="0030682B">
                        <w:rPr>
                          <w:rFonts w:ascii="Libertinus Sans" w:eastAsiaTheme="minorEastAsia" w:hAnsi="Libertinus Sans" w:cs="Libertinus Sans"/>
                          <w:color w:val="0070C0"/>
                          <w:kern w:val="0"/>
                          <w:sz w:val="18"/>
                          <w:szCs w:val="18"/>
                          <w:lang w:val="en-US"/>
                        </w:rPr>
                        <w:t xml:space="preserve"> </w:t>
                      </w:r>
                      <w:r w:rsidR="002B7E5D">
                        <w:rPr>
                          <w:rFonts w:ascii="Libertinus Sans" w:eastAsiaTheme="minorEastAsia" w:hAnsi="Libertinus Sans" w:cs="Libertinus Sans"/>
                          <w:color w:val="0070C0"/>
                          <w:kern w:val="0"/>
                          <w:sz w:val="18"/>
                          <w:szCs w:val="18"/>
                          <w:lang w:val="en-US"/>
                        </w:rPr>
                        <w:t>high</w:t>
                      </w:r>
                      <w:r w:rsidRPr="0030682B">
                        <w:rPr>
                          <w:rFonts w:ascii="Libertinus Sans" w:eastAsiaTheme="minorEastAsia" w:hAnsi="Libertinus Sans" w:cs="Libertinus Sans"/>
                          <w:color w:val="0070C0"/>
                          <w:kern w:val="0"/>
                          <w:sz w:val="18"/>
                          <w:szCs w:val="18"/>
                          <w:lang w:val="en-US"/>
                        </w:rPr>
                        <w:t xml:space="preserve"> densities. We thus define a Gaussian desirability function (centered around 320 g/mol) with a width of 140 g/mol that rewards these intermediate values while penalizing extremes. </w:t>
                      </w:r>
                    </w:p>
                  </w:txbxContent>
                </v:textbox>
                <w10:wrap type="square"/>
              </v:shape>
            </w:pict>
          </mc:Fallback>
        </mc:AlternateContent>
      </w:r>
      <w:r w:rsidR="001A3333">
        <w:rPr>
          <w:rFonts w:ascii="Libertinus Sans" w:eastAsiaTheme="minorEastAsia" w:hAnsi="Libertinus Sans" w:cs="Libertinus Sans"/>
          <w:noProof/>
          <w:kern w:val="0"/>
          <w:sz w:val="18"/>
          <w:szCs w:val="18"/>
          <w:lang w:val="en-US"/>
        </w:rPr>
        <w:drawing>
          <wp:anchor distT="0" distB="0" distL="114300" distR="114300" simplePos="0" relativeHeight="251662336" behindDoc="0" locked="0" layoutInCell="1" allowOverlap="1" wp14:anchorId="0DCAB6C6" wp14:editId="34D2796F">
            <wp:simplePos x="0" y="0"/>
            <wp:positionH relativeFrom="column">
              <wp:posOffset>3369310</wp:posOffset>
            </wp:positionH>
            <wp:positionV relativeFrom="paragraph">
              <wp:posOffset>0</wp:posOffset>
            </wp:positionV>
            <wp:extent cx="2654300" cy="2472055"/>
            <wp:effectExtent l="0" t="0" r="635" b="4445"/>
            <wp:wrapSquare wrapText="bothSides"/>
            <wp:docPr id="1348122012" name="Picture 3" descr="A graph of a number of numbers and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22012" name="Picture 3" descr="A graph of a number of numbers and a number of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4300" cy="2472055"/>
                    </a:xfrm>
                    <a:prstGeom prst="rect">
                      <a:avLst/>
                    </a:prstGeom>
                  </pic:spPr>
                </pic:pic>
              </a:graphicData>
            </a:graphic>
            <wp14:sizeRelH relativeFrom="page">
              <wp14:pctWidth>0</wp14:pctWidth>
            </wp14:sizeRelH>
            <wp14:sizeRelV relativeFrom="page">
              <wp14:pctHeight>0</wp14:pctHeight>
            </wp14:sizeRelV>
          </wp:anchor>
        </w:drawing>
      </w:r>
    </w:p>
    <w:p w14:paraId="16163C80"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eastAsiaTheme="minorEastAsia" w:hAnsi="Libertinus Sans" w:cs="Libertinus Sans"/>
          <w:kern w:val="0"/>
          <w:szCs w:val="22"/>
          <w:lang w:val="en-US"/>
        </w:rPr>
        <w:t xml:space="preserve">The parameters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1</m:t>
            </m:r>
          </m:sub>
        </m:sSub>
        <m:r>
          <w:rPr>
            <w:rFonts w:ascii="Cambria Math" w:eastAsiaTheme="minorEastAsia" w:hAnsi="Cambria Math" w:cs="Libertinus Sans"/>
            <w:kern w:val="0"/>
            <w:szCs w:val="22"/>
            <w:lang w:val="en-US"/>
          </w:rPr>
          <m:t>-</m:t>
        </m:r>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e>
          <m:sub>
            <m:r>
              <w:rPr>
                <w:rFonts w:ascii="Cambria Math" w:eastAsiaTheme="minorEastAsia" w:hAnsi="Cambria Math" w:cs="Libertinus Sans"/>
                <w:kern w:val="0"/>
                <w:szCs w:val="22"/>
                <w:lang w:val="en-US"/>
              </w:rPr>
              <m:t>4</m:t>
            </m:r>
          </m:sub>
        </m:sSub>
      </m:oMath>
      <w:r>
        <w:rPr>
          <w:rFonts w:ascii="Libertinus Sans" w:eastAsiaTheme="minorEastAsia" w:hAnsi="Libertinus Sans" w:cs="Libertinus Sans"/>
          <w:kern w:val="0"/>
          <w:szCs w:val="22"/>
          <w:lang w:val="en-US"/>
        </w:rPr>
        <w:t xml:space="preserve"> were empirically optimized against known linkers belonging to high-performing MOFs</w:t>
      </w:r>
      <w:r w:rsidR="002B7E5D">
        <w:rPr>
          <w:rFonts w:ascii="Libertinus Sans" w:eastAsiaTheme="minorEastAsia" w:hAnsi="Libertinus Sans" w:cs="Libertinus Sans"/>
          <w:kern w:val="0"/>
          <w:szCs w:val="22"/>
          <w:lang w:val="en-US"/>
        </w:rPr>
        <w:t>,</w:t>
      </w:r>
      <w:r w:rsidR="00B32BB9">
        <w:rPr>
          <w:rFonts w:ascii="Libertinus Sans" w:eastAsiaTheme="minorEastAsia" w:hAnsi="Libertinus Sans" w:cs="Libertinus Sans"/>
          <w:kern w:val="0"/>
          <w:szCs w:val="22"/>
          <w:lang w:val="en-US"/>
        </w:rPr>
        <w:t xml:space="preserve"> with weights selected to preserve qualitative ranking of linkers corresponding to benchmark MOFs</w:t>
      </w:r>
      <w:r>
        <w:rPr>
          <w:rFonts w:ascii="Libertinus Sans" w:eastAsiaTheme="minorEastAsia" w:hAnsi="Libertinus Sans" w:cs="Libertinus Sans"/>
          <w:kern w:val="0"/>
          <w:szCs w:val="22"/>
          <w:lang w:val="en-US"/>
        </w:rPr>
        <w:t xml:space="preserve">. At values of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1</m:t>
            </m:r>
          </m:sub>
        </m:sSub>
      </m:oMath>
      <w:r>
        <w:rPr>
          <w:rFonts w:ascii="Libertinus Sans" w:eastAsiaTheme="minorEastAsia" w:hAnsi="Libertinus Sans" w:cs="Libertinus Sans"/>
          <w:kern w:val="0"/>
          <w:szCs w:val="22"/>
          <w:lang w:val="en-US"/>
        </w:rPr>
        <w:t xml:space="preserve"> = 0.2;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2</m:t>
            </m:r>
          </m:sub>
        </m:sSub>
      </m:oMath>
      <w:r>
        <w:rPr>
          <w:rFonts w:ascii="Libertinus Sans" w:eastAsiaTheme="minorEastAsia" w:hAnsi="Libertinus Sans" w:cs="Libertinus Sans"/>
          <w:kern w:val="0"/>
          <w:szCs w:val="22"/>
          <w:lang w:val="en-US"/>
        </w:rPr>
        <w:t xml:space="preserve"> = 0.2;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3</m:t>
            </m:r>
          </m:sub>
        </m:sSub>
      </m:oMath>
      <w:r>
        <w:rPr>
          <w:rFonts w:ascii="Libertinus Sans" w:eastAsiaTheme="minorEastAsia" w:hAnsi="Libertinus Sans" w:cs="Libertinus Sans"/>
          <w:kern w:val="0"/>
          <w:szCs w:val="22"/>
          <w:lang w:val="en-US"/>
        </w:rPr>
        <w:t xml:space="preserve"> = 0.4 and </w:t>
      </w:r>
      <m:oMath>
        <m:sSub>
          <m:sSubPr>
            <m:ctrlPr>
              <w:rPr>
                <w:rFonts w:ascii="Cambria Math" w:eastAsiaTheme="minorEastAsia" w:hAnsi="Cambria Math" w:cs="Libertinus Sans"/>
                <w:i/>
                <w:kern w:val="0"/>
                <w:szCs w:val="22"/>
                <w:lang w:val="en-US"/>
              </w:rPr>
            </m:ctrlPr>
          </m:sSubPr>
          <m:e>
            <m:r>
              <m:rPr>
                <m:sty m:val="p"/>
              </m:rPr>
              <w:rPr>
                <w:rFonts w:ascii="Cambria Math" w:eastAsiaTheme="minorEastAsia" w:hAnsi="Cambria Math" w:cs="Libertinus Sans"/>
                <w:kern w:val="0"/>
                <w:szCs w:val="22"/>
                <w:lang w:val="en-US"/>
              </w:rPr>
              <m:t>β</m:t>
            </m:r>
            <m:ctrlPr>
              <w:rPr>
                <w:rFonts w:ascii="Cambria Math" w:eastAsiaTheme="minorEastAsia" w:hAnsi="Cambria Math" w:cs="Libertinus Sans"/>
                <w:kern w:val="0"/>
                <w:szCs w:val="22"/>
                <w:lang w:val="en-US"/>
              </w:rPr>
            </m:ctrlPr>
          </m:e>
          <m:sub>
            <m:r>
              <w:rPr>
                <w:rFonts w:ascii="Cambria Math" w:eastAsiaTheme="minorEastAsia" w:hAnsi="Cambria Math" w:cs="Libertinus Sans"/>
                <w:kern w:val="0"/>
                <w:szCs w:val="22"/>
                <w:lang w:val="en-US"/>
              </w:rPr>
              <m:t>4</m:t>
            </m:r>
          </m:sub>
        </m:sSub>
      </m:oMath>
      <w:r>
        <w:rPr>
          <w:rFonts w:ascii="Libertinus Sans" w:eastAsiaTheme="minorEastAsia" w:hAnsi="Libertinus Sans" w:cs="Libertinus Sans"/>
          <w:kern w:val="0"/>
          <w:szCs w:val="22"/>
          <w:lang w:val="en-US"/>
        </w:rPr>
        <w:t xml:space="preserve"> = 0.2, the reward score trends were found to reasonably correlate to experimental data. </w:t>
      </w:r>
      <w:r>
        <w:rPr>
          <w:rFonts w:ascii="Libertinus Sans" w:eastAsiaTheme="minorEastAsia" w:hAnsi="Libertinus Sans" w:cs="Libertinus Sans"/>
          <w:b/>
          <w:bCs/>
          <w:kern w:val="0"/>
          <w:szCs w:val="22"/>
          <w:lang w:val="en-US"/>
        </w:rPr>
        <w:t xml:space="preserve">Figure F5 </w:t>
      </w:r>
      <w:r w:rsidR="00EC1EED" w:rsidRPr="00EC1EED">
        <w:rPr>
          <w:rFonts w:ascii="Libertinus Sans" w:eastAsiaTheme="minorEastAsia" w:hAnsi="Libertinus Sans" w:cs="Libertinus Sans"/>
          <w:kern w:val="0"/>
          <w:szCs w:val="22"/>
          <w:lang w:val="en-US"/>
        </w:rPr>
        <w:t>(bottom)</w:t>
      </w:r>
      <w:r w:rsidR="00EC1EED">
        <w:rPr>
          <w:rFonts w:ascii="Libertinus Sans" w:eastAsiaTheme="minorEastAsia" w:hAnsi="Libertinus Sans" w:cs="Libertinus Sans"/>
          <w:b/>
          <w:bCs/>
          <w:kern w:val="0"/>
          <w:szCs w:val="22"/>
          <w:lang w:val="en-US"/>
        </w:rPr>
        <w:t xml:space="preserve"> </w:t>
      </w:r>
      <w:r>
        <w:rPr>
          <w:rFonts w:ascii="Libertinus Sans" w:eastAsiaTheme="minorEastAsia" w:hAnsi="Libertinus Sans" w:cs="Libertinus Sans"/>
          <w:kern w:val="0"/>
          <w:szCs w:val="22"/>
          <w:lang w:val="en-US"/>
        </w:rPr>
        <w:t xml:space="preserve">shows the distribution of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gas</m:t>
            </m:r>
          </m:sub>
        </m:sSub>
      </m:oMath>
      <w:r>
        <w:rPr>
          <w:rFonts w:ascii="Libertinus Sans" w:eastAsiaTheme="minorEastAsia" w:hAnsi="Libertinus Sans" w:cs="Libertinus Sans"/>
          <w:kern w:val="0"/>
          <w:szCs w:val="22"/>
          <w:lang w:val="en-US"/>
        </w:rPr>
        <w:t xml:space="preserve"> values using these parameters when evaluated on 25000 molecules from the training dataset. The distribution is broad (with a median at 0.43) and similar to the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grav</m:t>
            </m:r>
          </m:sub>
        </m:sSub>
      </m:oMath>
      <w:r>
        <w:rPr>
          <w:rFonts w:ascii="Libertinus Sans" w:eastAsiaTheme="minorEastAsia" w:hAnsi="Libertinus Sans" w:cs="Libertinus Sans"/>
          <w:kern w:val="0"/>
          <w:szCs w:val="22"/>
          <w:lang w:val="en-US"/>
        </w:rPr>
        <w:t xml:space="preserve"> distribution, does not saturate at either extreme. There is a weak bimodal character, with a secondary shoulder at higher values, suggesting a partitioning of the linker space into two regimes. The larger class is geometrically sub-optimal</w:t>
      </w:r>
      <w:r w:rsidR="00EC1EED">
        <w:rPr>
          <w:rFonts w:ascii="Libertinus Sans" w:eastAsiaTheme="minorEastAsia" w:hAnsi="Libertinus Sans" w:cs="Libertinus Sans"/>
          <w:kern w:val="0"/>
          <w:szCs w:val="22"/>
          <w:lang w:val="en-US"/>
        </w:rPr>
        <w:t xml:space="preserve"> (</w:t>
      </w:r>
      <w:r w:rsidR="00EC1EED">
        <w:rPr>
          <w:rFonts w:ascii="Libertinus Sans" w:eastAsiaTheme="minorEastAsia" w:hAnsi="Libertinus Sans" w:cs="Libertinus Sans"/>
          <w:b/>
          <w:bCs/>
          <w:kern w:val="0"/>
          <w:szCs w:val="22"/>
          <w:lang w:val="en-US"/>
        </w:rPr>
        <w:t xml:space="preserve">Figure F5 </w:t>
      </w:r>
      <w:r w:rsidR="00EC1EED">
        <w:rPr>
          <w:rFonts w:ascii="Libertinus Sans" w:eastAsiaTheme="minorEastAsia" w:hAnsi="Libertinus Sans" w:cs="Libertinus Sans"/>
          <w:kern w:val="0"/>
          <w:szCs w:val="22"/>
          <w:lang w:val="en-US"/>
        </w:rPr>
        <w:t>(top))</w:t>
      </w:r>
      <w:r>
        <w:rPr>
          <w:rFonts w:ascii="Libertinus Sans" w:eastAsiaTheme="minorEastAsia" w:hAnsi="Libertinus Sans" w:cs="Libertinus Sans"/>
          <w:kern w:val="0"/>
          <w:szCs w:val="22"/>
          <w:lang w:val="en-US"/>
        </w:rPr>
        <w:t xml:space="preserve">, while the smaller class is primarily driven by symmetry and rigidity components of the score. This is by design, considering that reticular assembly of frameworks of interest favor linkers with symmetric anchor environments and lower conformational flexibility yet having a reasonable span. </w:t>
      </w:r>
    </w:p>
    <w:p w14:paraId="6E1BAB93" w14:textId="77777777" w:rsidR="001A3333" w:rsidRPr="003A28BA" w:rsidRDefault="003A527F"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eastAsiaTheme="minorEastAsia" w:hAnsi="Libertinus Sans" w:cs="Libertinus Sans"/>
          <w:noProof/>
          <w:kern w:val="0"/>
          <w:szCs w:val="22"/>
          <w:lang w:val="en-US"/>
        </w:rPr>
        <w:lastRenderedPageBreak/>
        <w:drawing>
          <wp:anchor distT="0" distB="0" distL="114300" distR="114300" simplePos="0" relativeHeight="251663360" behindDoc="0" locked="0" layoutInCell="1" allowOverlap="1" wp14:anchorId="460FFBD7" wp14:editId="29667E18">
            <wp:simplePos x="0" y="0"/>
            <wp:positionH relativeFrom="column">
              <wp:posOffset>-47625</wp:posOffset>
            </wp:positionH>
            <wp:positionV relativeFrom="paragraph">
              <wp:posOffset>21590</wp:posOffset>
            </wp:positionV>
            <wp:extent cx="2225675" cy="4030980"/>
            <wp:effectExtent l="0" t="0" r="0" b="0"/>
            <wp:wrapSquare wrapText="bothSides"/>
            <wp:docPr id="472543481" name="Picture 1" descr="A comparison of a normal and a normal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43481" name="Picture 1" descr="A comparison of a normal and a normal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5675" cy="4030980"/>
                    </a:xfrm>
                    <a:prstGeom prst="rect">
                      <a:avLst/>
                    </a:prstGeom>
                  </pic:spPr>
                </pic:pic>
              </a:graphicData>
            </a:graphic>
            <wp14:sizeRelH relativeFrom="page">
              <wp14:pctWidth>0</wp14:pctWidth>
            </wp14:sizeRelH>
            <wp14:sizeRelV relativeFrom="page">
              <wp14:pctHeight>0</wp14:pctHeight>
            </wp14:sizeRelV>
          </wp:anchor>
        </w:drawing>
      </w:r>
    </w:p>
    <w:p w14:paraId="369225A2"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sidRPr="0030682B">
        <w:rPr>
          <w:rFonts w:ascii="Libertinus Sans" w:hAnsi="Libertinus Sans" w:cs="Libertinus Sans"/>
          <w:b/>
          <w:bCs/>
          <w:color w:val="0070C0"/>
          <w:kern w:val="0"/>
          <w:sz w:val="18"/>
          <w:szCs w:val="18"/>
          <w:lang w:val="en-US"/>
        </w:rPr>
        <w:t>Figure F</w:t>
      </w:r>
      <w:r>
        <w:rPr>
          <w:rFonts w:ascii="Libertinus Sans" w:hAnsi="Libertinus Sans" w:cs="Libertinus Sans"/>
          <w:b/>
          <w:bCs/>
          <w:color w:val="0070C0"/>
          <w:kern w:val="0"/>
          <w:sz w:val="18"/>
          <w:szCs w:val="18"/>
          <w:lang w:val="en-US"/>
        </w:rPr>
        <w:t>5</w:t>
      </w:r>
      <w:r w:rsidRPr="0030682B">
        <w:rPr>
          <w:rFonts w:ascii="Libertinus Sans" w:hAnsi="Libertinus Sans" w:cs="Libertinus Sans"/>
          <w:b/>
          <w:bCs/>
          <w:color w:val="0070C0"/>
          <w:kern w:val="0"/>
          <w:sz w:val="18"/>
          <w:szCs w:val="18"/>
          <w:lang w:val="en-US"/>
        </w:rPr>
        <w:t xml:space="preserve">. </w:t>
      </w:r>
      <w:r w:rsidRPr="00431939">
        <w:rPr>
          <w:rFonts w:ascii="Libertinus Sans" w:hAnsi="Libertinus Sans" w:cs="Libertinus Sans"/>
          <w:color w:val="0070C0"/>
          <w:kern w:val="0"/>
          <w:sz w:val="18"/>
          <w:szCs w:val="18"/>
          <w:lang w:val="en-US"/>
        </w:rPr>
        <w:t>Distribution of the</w:t>
      </w:r>
      <w:r w:rsidR="00EC1EED">
        <w:rPr>
          <w:rFonts w:ascii="Libertinus Sans" w:hAnsi="Libertinus Sans" w:cs="Libertinus Sans"/>
          <w:color w:val="0070C0"/>
          <w:kern w:val="0"/>
          <w:sz w:val="18"/>
          <w:szCs w:val="18"/>
          <w:lang w:val="en-US"/>
        </w:rPr>
        <w:t xml:space="preserve">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d</m:t>
            </m:r>
          </m:e>
          <m:sub>
            <m:r>
              <w:rPr>
                <w:rFonts w:ascii="Cambria Math" w:eastAsiaTheme="minorEastAsia" w:hAnsi="Cambria Math" w:cs="Libertinus Sans"/>
                <w:color w:val="0070C0"/>
                <w:kern w:val="0"/>
                <w:sz w:val="18"/>
                <w:szCs w:val="18"/>
                <w:lang w:val="en-US"/>
              </w:rPr>
              <m:t>symmetry</m:t>
            </m:r>
          </m:sub>
        </m:sSub>
      </m:oMath>
      <w:r w:rsidR="00EC1EED">
        <w:rPr>
          <w:rFonts w:ascii="Libertinus Sans" w:eastAsiaTheme="minorEastAsia" w:hAnsi="Libertinus Sans" w:cs="Libertinus Sans"/>
          <w:color w:val="0070C0"/>
          <w:kern w:val="0"/>
          <w:sz w:val="18"/>
          <w:szCs w:val="18"/>
          <w:lang w:val="en-US"/>
        </w:rPr>
        <w:t xml:space="preserve"> (top) and</w:t>
      </w:r>
      <w:r w:rsidRPr="00431939">
        <w:rPr>
          <w:rFonts w:ascii="Libertinus Sans" w:hAnsi="Libertinus Sans" w:cs="Libertinus Sans"/>
          <w:color w:val="0070C0"/>
          <w:kern w:val="0"/>
          <w:sz w:val="18"/>
          <w:szCs w:val="18"/>
          <w:lang w:val="en-US"/>
        </w:rPr>
        <w:t xml:space="preserve">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R</m:t>
            </m:r>
          </m:e>
          <m:sub>
            <m:r>
              <w:rPr>
                <w:rFonts w:ascii="Cambria Math" w:eastAsiaTheme="minorEastAsia" w:hAnsi="Cambria Math" w:cs="Libertinus Sans"/>
                <w:color w:val="0070C0"/>
                <w:kern w:val="0"/>
                <w:sz w:val="18"/>
                <w:szCs w:val="18"/>
                <w:lang w:val="en-US"/>
              </w:rPr>
              <m:t>gas</m:t>
            </m:r>
          </m:sub>
        </m:sSub>
      </m:oMath>
      <w:r w:rsidRPr="00431939">
        <w:rPr>
          <w:rFonts w:ascii="Libertinus Sans" w:eastAsiaTheme="minorEastAsia" w:hAnsi="Libertinus Sans" w:cs="Libertinus Sans"/>
          <w:color w:val="0070C0"/>
          <w:kern w:val="0"/>
          <w:sz w:val="18"/>
          <w:szCs w:val="18"/>
          <w:lang w:val="en-US"/>
        </w:rPr>
        <w:t xml:space="preserve"> scores</w:t>
      </w:r>
      <w:r w:rsidR="00EC1EED">
        <w:rPr>
          <w:rFonts w:ascii="Libertinus Sans" w:eastAsiaTheme="minorEastAsia" w:hAnsi="Libertinus Sans" w:cs="Libertinus Sans"/>
          <w:color w:val="0070C0"/>
          <w:kern w:val="0"/>
          <w:sz w:val="18"/>
          <w:szCs w:val="18"/>
          <w:lang w:val="en-US"/>
        </w:rPr>
        <w:t xml:space="preserve"> (bottom)</w:t>
      </w:r>
      <w:r w:rsidRPr="00431939">
        <w:rPr>
          <w:rFonts w:ascii="Libertinus Sans" w:hAnsi="Libertinus Sans" w:cs="Libertinus Sans"/>
          <w:color w:val="0070C0"/>
          <w:kern w:val="0"/>
          <w:sz w:val="18"/>
          <w:szCs w:val="18"/>
          <w:lang w:val="en-US"/>
        </w:rPr>
        <w:t xml:space="preserve"> of molecules from the training dataset (n = 25000)</w:t>
      </w:r>
      <w:r w:rsidRPr="00431939">
        <w:rPr>
          <w:rFonts w:ascii="Libertinus Sans" w:eastAsiaTheme="minorEastAsia" w:hAnsi="Libertinus Sans" w:cs="Libertinus Sans"/>
          <w:color w:val="0070C0"/>
          <w:kern w:val="0"/>
          <w:sz w:val="18"/>
          <w:szCs w:val="18"/>
          <w:lang w:val="en-US"/>
        </w:rPr>
        <w:t>.</w:t>
      </w:r>
      <w:r w:rsidR="00EC1EED">
        <w:rPr>
          <w:rFonts w:ascii="Libertinus Sans" w:eastAsiaTheme="minorEastAsia" w:hAnsi="Libertinus Sans" w:cs="Libertinus Sans"/>
          <w:color w:val="0070C0"/>
          <w:kern w:val="0"/>
          <w:sz w:val="18"/>
          <w:szCs w:val="18"/>
          <w:lang w:val="en-US"/>
        </w:rPr>
        <w:t xml:space="preserve">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d</m:t>
            </m:r>
          </m:e>
          <m:sub>
            <m:r>
              <w:rPr>
                <w:rFonts w:ascii="Cambria Math" w:eastAsiaTheme="minorEastAsia" w:hAnsi="Cambria Math" w:cs="Libertinus Sans"/>
                <w:color w:val="0070C0"/>
                <w:kern w:val="0"/>
                <w:sz w:val="18"/>
                <w:szCs w:val="18"/>
                <w:lang w:val="en-US"/>
              </w:rPr>
              <m:t>symmetry</m:t>
            </m:r>
          </m:sub>
        </m:sSub>
      </m:oMath>
      <w:r w:rsidR="00EC1EED">
        <w:rPr>
          <w:rFonts w:ascii="Libertinus Sans" w:eastAsiaTheme="minorEastAsia" w:hAnsi="Libertinus Sans" w:cs="Libertinus Sans"/>
          <w:color w:val="0070C0"/>
          <w:kern w:val="0"/>
          <w:sz w:val="18"/>
          <w:szCs w:val="18"/>
          <w:lang w:val="en-US"/>
        </w:rPr>
        <w:t xml:space="preserve"> has a strong bimodal distribution suggesting the p</w:t>
      </w:r>
      <w:r w:rsidR="002B7E5D">
        <w:rPr>
          <w:rFonts w:ascii="Libertinus Sans" w:eastAsiaTheme="minorEastAsia" w:hAnsi="Libertinus Sans" w:cs="Libertinus Sans"/>
          <w:color w:val="0070C0"/>
          <w:kern w:val="0"/>
          <w:sz w:val="18"/>
          <w:szCs w:val="18"/>
          <w:lang w:val="en-US"/>
        </w:rPr>
        <w:t>a</w:t>
      </w:r>
      <w:r w:rsidR="00EC1EED">
        <w:rPr>
          <w:rFonts w:ascii="Libertinus Sans" w:eastAsiaTheme="minorEastAsia" w:hAnsi="Libertinus Sans" w:cs="Libertinus Sans"/>
          <w:color w:val="0070C0"/>
          <w:kern w:val="0"/>
          <w:sz w:val="18"/>
          <w:szCs w:val="18"/>
          <w:lang w:val="en-US"/>
        </w:rPr>
        <w:t>rti</w:t>
      </w:r>
      <w:r w:rsidR="002B7E5D">
        <w:rPr>
          <w:rFonts w:ascii="Libertinus Sans" w:eastAsiaTheme="minorEastAsia" w:hAnsi="Libertinus Sans" w:cs="Libertinus Sans"/>
          <w:color w:val="0070C0"/>
          <w:kern w:val="0"/>
          <w:sz w:val="18"/>
          <w:szCs w:val="18"/>
          <w:lang w:val="en-US"/>
        </w:rPr>
        <w:t>tion</w:t>
      </w:r>
      <w:r w:rsidR="00EC1EED">
        <w:rPr>
          <w:rFonts w:ascii="Libertinus Sans" w:eastAsiaTheme="minorEastAsia" w:hAnsi="Libertinus Sans" w:cs="Libertinus Sans"/>
          <w:color w:val="0070C0"/>
          <w:kern w:val="0"/>
          <w:sz w:val="18"/>
          <w:szCs w:val="18"/>
          <w:lang w:val="en-US"/>
        </w:rPr>
        <w:t xml:space="preserve">ing of the linker space into two classes: linkers with sub-optimal symmetry and linkers with optimal symmetry. </w:t>
      </w:r>
      <w:r w:rsidR="00B32BB9">
        <w:rPr>
          <w:rFonts w:ascii="Libertinus Sans" w:eastAsiaTheme="minorEastAsia" w:hAnsi="Libertinus Sans" w:cs="Libertinus Sans"/>
          <w:color w:val="0070C0"/>
          <w:kern w:val="0"/>
          <w:sz w:val="18"/>
          <w:szCs w:val="18"/>
          <w:lang w:val="en-US"/>
        </w:rPr>
        <w:t xml:space="preserve">Only 1.6% of the linkers attain the maximum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d</m:t>
            </m:r>
          </m:e>
          <m:sub>
            <m:r>
              <w:rPr>
                <w:rFonts w:ascii="Cambria Math" w:eastAsiaTheme="minorEastAsia" w:hAnsi="Cambria Math" w:cs="Libertinus Sans"/>
                <w:color w:val="0070C0"/>
                <w:kern w:val="0"/>
                <w:sz w:val="18"/>
                <w:szCs w:val="18"/>
                <w:lang w:val="en-US"/>
              </w:rPr>
              <m:t>symmetry</m:t>
            </m:r>
          </m:sub>
        </m:sSub>
      </m:oMath>
      <w:r w:rsidR="00EC1EED">
        <w:rPr>
          <w:rFonts w:ascii="Libertinus Sans" w:eastAsiaTheme="minorEastAsia" w:hAnsi="Libertinus Sans" w:cs="Libertinus Sans"/>
          <w:color w:val="0070C0"/>
          <w:kern w:val="0"/>
          <w:sz w:val="18"/>
          <w:szCs w:val="18"/>
          <w:lang w:val="en-US"/>
        </w:rPr>
        <w:t>.</w:t>
      </w:r>
      <w:r w:rsidRPr="00431939">
        <w:rPr>
          <w:rFonts w:ascii="Libertinus Sans" w:eastAsiaTheme="minorEastAsia" w:hAnsi="Libertinus Sans" w:cs="Libertinus Sans"/>
          <w:color w:val="0070C0"/>
          <w:kern w:val="0"/>
          <w:sz w:val="18"/>
          <w:szCs w:val="18"/>
          <w:lang w:val="en-US"/>
        </w:rPr>
        <w:t xml:space="preserve"> </w:t>
      </w:r>
      <w:r w:rsidR="00EC1EED">
        <w:rPr>
          <w:rFonts w:ascii="Libertinus Sans" w:eastAsiaTheme="minorEastAsia" w:hAnsi="Libertinus Sans" w:cs="Libertinus Sans"/>
          <w:color w:val="0070C0"/>
          <w:kern w:val="0"/>
          <w:sz w:val="18"/>
          <w:szCs w:val="18"/>
          <w:lang w:val="en-US"/>
        </w:rPr>
        <w:t xml:space="preserve">For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R</m:t>
            </m:r>
          </m:e>
          <m:sub>
            <m:r>
              <w:rPr>
                <w:rFonts w:ascii="Cambria Math" w:eastAsiaTheme="minorEastAsia" w:hAnsi="Cambria Math" w:cs="Libertinus Sans"/>
                <w:color w:val="0070C0"/>
                <w:kern w:val="0"/>
                <w:sz w:val="18"/>
                <w:szCs w:val="18"/>
                <w:lang w:val="en-US"/>
              </w:rPr>
              <m:t>gas</m:t>
            </m:r>
          </m:sub>
        </m:sSub>
      </m:oMath>
      <w:r w:rsidR="00EC1EED">
        <w:rPr>
          <w:rFonts w:ascii="Libertinus Sans" w:eastAsiaTheme="minorEastAsia" w:hAnsi="Libertinus Sans" w:cs="Libertinus Sans"/>
          <w:color w:val="0070C0"/>
          <w:kern w:val="0"/>
          <w:sz w:val="18"/>
          <w:szCs w:val="18"/>
          <w:lang w:val="en-US"/>
        </w:rPr>
        <w:t>, t</w:t>
      </w:r>
      <w:r w:rsidRPr="00431939">
        <w:rPr>
          <w:rFonts w:ascii="Libertinus Sans" w:eastAsiaTheme="minorEastAsia" w:hAnsi="Libertinus Sans" w:cs="Libertinus Sans"/>
          <w:color w:val="0070C0"/>
          <w:kern w:val="0"/>
          <w:sz w:val="18"/>
          <w:szCs w:val="18"/>
          <w:lang w:val="en-US"/>
        </w:rPr>
        <w:t xml:space="preserve">he distribution is broad (median = 0.43) with a weak bimodal character. Neither extreme </w:t>
      </w:r>
      <w:r w:rsidR="002B7E5D">
        <w:rPr>
          <w:rFonts w:ascii="Libertinus Sans" w:eastAsiaTheme="minorEastAsia" w:hAnsi="Libertinus Sans" w:cs="Libertinus Sans"/>
          <w:color w:val="0070C0"/>
          <w:kern w:val="0"/>
          <w:sz w:val="18"/>
          <w:szCs w:val="18"/>
          <w:lang w:val="en-US"/>
        </w:rPr>
        <w:t>is</w:t>
      </w:r>
      <w:r w:rsidRPr="00431939">
        <w:rPr>
          <w:rFonts w:ascii="Libertinus Sans" w:eastAsiaTheme="minorEastAsia" w:hAnsi="Libertinus Sans" w:cs="Libertinus Sans"/>
          <w:color w:val="0070C0"/>
          <w:kern w:val="0"/>
          <w:sz w:val="18"/>
          <w:szCs w:val="18"/>
          <w:lang w:val="en-US"/>
        </w:rPr>
        <w:t xml:space="preserve"> saturated – confirming that there is no collapse. The weak bimodal character </w:t>
      </w:r>
      <w:r w:rsidR="00EC1EED">
        <w:rPr>
          <w:rFonts w:ascii="Libertinus Sans" w:eastAsiaTheme="minorEastAsia" w:hAnsi="Libertinus Sans" w:cs="Libertinus Sans"/>
          <w:color w:val="0070C0"/>
          <w:kern w:val="0"/>
          <w:sz w:val="18"/>
          <w:szCs w:val="18"/>
          <w:lang w:val="en-US"/>
        </w:rPr>
        <w:t xml:space="preserve">stems from the </w:t>
      </w:r>
      <w:r w:rsidRPr="00431939">
        <w:rPr>
          <w:rFonts w:ascii="Libertinus Sans" w:eastAsiaTheme="minorEastAsia" w:hAnsi="Libertinus Sans" w:cs="Libertinus Sans"/>
          <w:color w:val="0070C0"/>
          <w:kern w:val="0"/>
          <w:sz w:val="18"/>
          <w:szCs w:val="18"/>
          <w:lang w:val="en-US"/>
        </w:rPr>
        <w:t xml:space="preserve">partitioning of the linker space </w:t>
      </w:r>
      <w:r w:rsidR="00EC1EED">
        <w:rPr>
          <w:rFonts w:ascii="Libertinus Sans" w:eastAsiaTheme="minorEastAsia" w:hAnsi="Libertinus Sans" w:cs="Libertinus Sans"/>
          <w:color w:val="0070C0"/>
          <w:kern w:val="0"/>
          <w:sz w:val="18"/>
          <w:szCs w:val="18"/>
          <w:lang w:val="en-US"/>
        </w:rPr>
        <w:t>described above</w:t>
      </w:r>
      <w:r w:rsidRPr="00431939">
        <w:rPr>
          <w:rFonts w:ascii="Libertinus Sans" w:eastAsiaTheme="minorEastAsia" w:hAnsi="Libertinus Sans" w:cs="Libertinus Sans"/>
          <w:color w:val="0070C0"/>
          <w:kern w:val="0"/>
          <w:sz w:val="18"/>
          <w:szCs w:val="18"/>
          <w:lang w:val="en-US"/>
        </w:rPr>
        <w:t xml:space="preserve">. </w:t>
      </w:r>
      <w:r w:rsidR="00EC1EED">
        <w:rPr>
          <w:rFonts w:ascii="Libertinus Sans" w:eastAsiaTheme="minorEastAsia" w:hAnsi="Libertinus Sans" w:cs="Libertinus Sans"/>
          <w:color w:val="0070C0"/>
          <w:kern w:val="0"/>
          <w:sz w:val="18"/>
          <w:szCs w:val="18"/>
          <w:lang w:val="en-US"/>
        </w:rPr>
        <w:t>Here,</w:t>
      </w:r>
      <w:r w:rsidRPr="00431939">
        <w:rPr>
          <w:rFonts w:ascii="Libertinus Sans" w:eastAsiaTheme="minorEastAsia" w:hAnsi="Libertinus Sans" w:cs="Libertinus Sans"/>
          <w:color w:val="0070C0"/>
          <w:kern w:val="0"/>
          <w:sz w:val="18"/>
          <w:szCs w:val="18"/>
          <w:lang w:val="en-US"/>
        </w:rPr>
        <w:t xml:space="preserve"> the smaller class indicates more </w:t>
      </w:r>
      <w:r>
        <w:rPr>
          <w:rFonts w:ascii="Libertinus Sans" w:eastAsiaTheme="minorEastAsia" w:hAnsi="Libertinus Sans" w:cs="Libertinus Sans"/>
          <w:color w:val="0070C0"/>
          <w:kern w:val="0"/>
          <w:sz w:val="18"/>
          <w:szCs w:val="18"/>
          <w:lang w:val="en-US"/>
        </w:rPr>
        <w:t>favorable symmetry</w:t>
      </w:r>
      <w:r w:rsidR="00EC1EED">
        <w:rPr>
          <w:rFonts w:ascii="Libertinus Sans" w:eastAsiaTheme="minorEastAsia" w:hAnsi="Libertinus Sans" w:cs="Libertinus Sans"/>
          <w:color w:val="0070C0"/>
          <w:kern w:val="0"/>
          <w:sz w:val="18"/>
          <w:szCs w:val="18"/>
          <w:lang w:val="en-US"/>
        </w:rPr>
        <w:t xml:space="preserve"> and</w:t>
      </w:r>
      <w:r>
        <w:rPr>
          <w:rFonts w:ascii="Libertinus Sans" w:eastAsiaTheme="minorEastAsia" w:hAnsi="Libertinus Sans" w:cs="Libertinus Sans"/>
          <w:color w:val="0070C0"/>
          <w:kern w:val="0"/>
          <w:sz w:val="18"/>
          <w:szCs w:val="18"/>
          <w:lang w:val="en-US"/>
        </w:rPr>
        <w:t xml:space="preserve"> rigidity yet having a reasonable span and molecular weight. </w:t>
      </w:r>
    </w:p>
    <w:p w14:paraId="1FBA7BD0"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Pr>
          <w:rFonts w:ascii="Libertinus Sans" w:eastAsiaTheme="minorEastAsia" w:hAnsi="Libertinus Sans" w:cs="Libertinus Sans"/>
          <w:color w:val="0070C0"/>
          <w:kern w:val="0"/>
          <w:sz w:val="18"/>
          <w:szCs w:val="18"/>
          <w:lang w:val="en-US"/>
        </w:rPr>
        <w:t xml:space="preserve"> </w:t>
      </w:r>
      <w:r w:rsidRPr="0030682B">
        <w:rPr>
          <w:rFonts w:ascii="Libertinus Sans" w:eastAsiaTheme="minorEastAsia" w:hAnsi="Libertinus Sans" w:cs="Libertinus Sans"/>
          <w:color w:val="0070C0"/>
          <w:kern w:val="0"/>
          <w:sz w:val="18"/>
          <w:szCs w:val="18"/>
          <w:lang w:val="en-US"/>
        </w:rPr>
        <w:t xml:space="preserve"> </w:t>
      </w:r>
    </w:p>
    <w:p w14:paraId="502CAABC" w14:textId="77777777" w:rsidR="001A3333" w:rsidRPr="00E11632" w:rsidRDefault="001A3333" w:rsidP="001A3333">
      <w:pPr>
        <w:autoSpaceDE w:val="0"/>
        <w:autoSpaceDN w:val="0"/>
        <w:adjustRightInd w:val="0"/>
        <w:spacing w:after="60" w:line="276" w:lineRule="auto"/>
        <w:jc w:val="both"/>
        <w:rPr>
          <w:rFonts w:ascii="Libertinus Sans" w:eastAsiaTheme="minorEastAsia" w:hAnsi="Libertinus Sans" w:cs="Libertinus Sans"/>
          <w:kern w:val="0"/>
          <w:sz w:val="18"/>
          <w:szCs w:val="18"/>
          <w:lang w:val="en-US"/>
        </w:rPr>
      </w:pPr>
      <w:r w:rsidRPr="00E13323">
        <w:rPr>
          <w:rFonts w:ascii="Libertinus Sans" w:eastAsiaTheme="minorEastAsia" w:hAnsi="Libertinus Sans" w:cs="Libertinus Sans"/>
          <w:b/>
          <w:bCs/>
          <w:kern w:val="0"/>
          <w:szCs w:val="22"/>
          <w:lang w:val="en-US"/>
        </w:rPr>
        <w:t>Figure F</w:t>
      </w:r>
      <w:r>
        <w:rPr>
          <w:rFonts w:ascii="Libertinus Sans" w:eastAsiaTheme="minorEastAsia" w:hAnsi="Libertinus Sans" w:cs="Libertinus Sans"/>
          <w:b/>
          <w:bCs/>
          <w:kern w:val="0"/>
          <w:szCs w:val="22"/>
          <w:lang w:val="en-US"/>
        </w:rPr>
        <w:t>6</w:t>
      </w:r>
      <w:r w:rsidRPr="00E13323">
        <w:rPr>
          <w:rFonts w:ascii="Libertinus Sans" w:eastAsiaTheme="minorEastAsia" w:hAnsi="Libertinus Sans" w:cs="Libertinus Sans"/>
          <w:b/>
          <w:bCs/>
          <w:kern w:val="0"/>
          <w:szCs w:val="22"/>
          <w:lang w:val="en-US"/>
        </w:rPr>
        <w:t xml:space="preserve"> </w:t>
      </w:r>
      <w:r w:rsidRPr="00E13323">
        <w:rPr>
          <w:rFonts w:ascii="Libertinus Sans" w:eastAsiaTheme="minorEastAsia" w:hAnsi="Libertinus Sans" w:cs="Libertinus Sans"/>
          <w:kern w:val="0"/>
          <w:szCs w:val="22"/>
          <w:lang w:val="en-US"/>
        </w:rPr>
        <w:t>shows</w:t>
      </w:r>
      <w:r>
        <w:rPr>
          <w:rFonts w:ascii="Libertinus Sans" w:eastAsiaTheme="minorEastAsia" w:hAnsi="Libertinus Sans" w:cs="Libertinus Sans"/>
          <w:kern w:val="0"/>
          <w:szCs w:val="22"/>
          <w:lang w:val="en-US"/>
        </w:rPr>
        <w:t xml:space="preserve"> the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gas</m:t>
            </m:r>
          </m:sub>
        </m:sSub>
      </m:oMath>
      <w:r>
        <w:rPr>
          <w:rFonts w:ascii="Libertinus Sans" w:eastAsiaTheme="minorEastAsia" w:hAnsi="Libertinus Sans" w:cs="Libertinus Sans"/>
          <w:kern w:val="0"/>
          <w:szCs w:val="22"/>
          <w:lang w:val="en-US"/>
        </w:rPr>
        <w:t xml:space="preserve"> scores computed for linkers corresponding to some of the top-performing MOFs for gravimetric CH</w:t>
      </w:r>
      <w:r w:rsidRPr="00E11632">
        <w:rPr>
          <w:rFonts w:ascii="Libertinus Sans" w:eastAsiaTheme="minorEastAsia" w:hAnsi="Libertinus Sans" w:cs="Libertinus Sans"/>
          <w:kern w:val="0"/>
          <w:szCs w:val="22"/>
          <w:vertAlign w:val="subscript"/>
          <w:lang w:val="en-US"/>
        </w:rPr>
        <w:t>4</w:t>
      </w:r>
      <w:r>
        <w:rPr>
          <w:rFonts w:ascii="Libertinus Sans" w:eastAsiaTheme="minorEastAsia" w:hAnsi="Libertinus Sans" w:cs="Libertinus Sans"/>
          <w:kern w:val="0"/>
          <w:szCs w:val="22"/>
          <w:vertAlign w:val="subscript"/>
          <w:lang w:val="en-US"/>
        </w:rPr>
        <w:t xml:space="preserve"> </w:t>
      </w:r>
      <w:r>
        <w:rPr>
          <w:rFonts w:ascii="Libertinus Sans" w:eastAsiaTheme="minorEastAsia" w:hAnsi="Libertinus Sans" w:cs="Libertinus Sans"/>
          <w:kern w:val="0"/>
          <w:szCs w:val="22"/>
          <w:lang w:val="en-US"/>
        </w:rPr>
        <w:t xml:space="preserve">storage. Again, the scores assigned to each linker correlate well with the observed trends. In this instance, the linker of </w:t>
      </w:r>
      <w:r>
        <w:rPr>
          <w:rFonts w:ascii="Libertinus Sans" w:eastAsiaTheme="minorEastAsia" w:hAnsi="Libertinus Sans" w:cs="Libertinus Sans"/>
          <w:b/>
          <w:bCs/>
          <w:kern w:val="0"/>
          <w:szCs w:val="22"/>
          <w:lang w:val="en-US"/>
        </w:rPr>
        <w:t>Al-soc-MOF</w:t>
      </w:r>
      <w:r w:rsidRPr="00E11632">
        <w:rPr>
          <w:rFonts w:ascii="Libertinus Sans" w:eastAsiaTheme="minorEastAsia" w:hAnsi="Libertinus Sans" w:cs="Libertinus Sans"/>
          <w:b/>
          <w:bCs/>
          <w:kern w:val="0"/>
          <w:szCs w:val="22"/>
          <w:lang w:val="en-US"/>
        </w:rPr>
        <w:t>-</w:t>
      </w:r>
      <w:r>
        <w:rPr>
          <w:rFonts w:ascii="Libertinus Sans" w:eastAsiaTheme="minorEastAsia" w:hAnsi="Libertinus Sans" w:cs="Libertinus Sans"/>
          <w:b/>
          <w:bCs/>
          <w:kern w:val="0"/>
          <w:szCs w:val="22"/>
          <w:lang w:val="en-US"/>
        </w:rPr>
        <w:t xml:space="preserve">1 </w:t>
      </w:r>
      <w:r>
        <w:rPr>
          <w:rFonts w:ascii="Libertinus Sans" w:eastAsiaTheme="minorEastAsia" w:hAnsi="Libertinus Sans" w:cs="Libertinus Sans"/>
          <w:kern w:val="0"/>
          <w:szCs w:val="22"/>
          <w:lang w:val="en-US"/>
        </w:rPr>
        <w:t xml:space="preserve">shows </w:t>
      </w:r>
      <w:r w:rsidR="00E65C01">
        <w:rPr>
          <w:rFonts w:ascii="Libertinus Sans" w:eastAsiaTheme="minorEastAsia" w:hAnsi="Libertinus Sans" w:cs="Libertinus Sans"/>
          <w:kern w:val="0"/>
          <w:szCs w:val="22"/>
          <w:lang w:val="en-US"/>
        </w:rPr>
        <w:t>a</w:t>
      </w:r>
      <w:r>
        <w:rPr>
          <w:rFonts w:ascii="Libertinus Sans" w:eastAsiaTheme="minorEastAsia" w:hAnsi="Libertinus Sans" w:cs="Libertinus Sans"/>
          <w:kern w:val="0"/>
          <w:szCs w:val="22"/>
          <w:lang w:val="en-US"/>
        </w:rPr>
        <w:t xml:space="preserve"> higher relative </w:t>
      </w:r>
      <m:oMath>
        <m:sSub>
          <m:sSubPr>
            <m:ctrlPr>
              <w:rPr>
                <w:rFonts w:ascii="Cambria Math" w:eastAsiaTheme="minorEastAsia" w:hAnsi="Cambria Math" w:cs="Libertinus Sans"/>
                <w:i/>
                <w:kern w:val="0"/>
                <w:szCs w:val="22"/>
                <w:lang w:val="en-US"/>
              </w:rPr>
            </m:ctrlPr>
          </m:sSubPr>
          <m:e>
            <m:r>
              <w:rPr>
                <w:rFonts w:ascii="Cambria Math" w:eastAsiaTheme="minorEastAsia" w:hAnsi="Cambria Math" w:cs="Libertinus Sans"/>
                <w:kern w:val="0"/>
                <w:szCs w:val="22"/>
                <w:lang w:val="en-US"/>
              </w:rPr>
              <m:t>R</m:t>
            </m:r>
          </m:e>
          <m:sub>
            <m:r>
              <w:rPr>
                <w:rFonts w:ascii="Cambria Math" w:eastAsiaTheme="minorEastAsia" w:hAnsi="Cambria Math" w:cs="Libertinus Sans"/>
                <w:kern w:val="0"/>
                <w:szCs w:val="22"/>
                <w:lang w:val="en-US"/>
              </w:rPr>
              <m:t>gas</m:t>
            </m:r>
          </m:sub>
        </m:sSub>
      </m:oMath>
      <w:r>
        <w:rPr>
          <w:rFonts w:ascii="Libertinus Sans" w:eastAsiaTheme="minorEastAsia" w:hAnsi="Libertinus Sans" w:cs="Libertinus Sans"/>
          <w:kern w:val="0"/>
          <w:szCs w:val="22"/>
          <w:lang w:val="en-US"/>
        </w:rPr>
        <w:t xml:space="preserve"> score compared to </w:t>
      </w:r>
      <w:r w:rsidR="00495AF1">
        <w:rPr>
          <w:rFonts w:ascii="Libertinus Sans" w:eastAsiaTheme="minorEastAsia" w:hAnsi="Libertinus Sans" w:cs="Libertinus Sans"/>
          <w:kern w:val="0"/>
          <w:szCs w:val="22"/>
          <w:lang w:val="en-US"/>
        </w:rPr>
        <w:t xml:space="preserve">the </w:t>
      </w:r>
      <w:r>
        <w:rPr>
          <w:rFonts w:ascii="Libertinus Sans" w:eastAsiaTheme="minorEastAsia" w:hAnsi="Libertinus Sans" w:cs="Libertinus Sans"/>
          <w:kern w:val="0"/>
          <w:szCs w:val="22"/>
          <w:lang w:val="en-US"/>
        </w:rPr>
        <w:t xml:space="preserve">linker of </w:t>
      </w:r>
      <w:r w:rsidRPr="00C62D18">
        <w:rPr>
          <w:rFonts w:ascii="Libertinus Sans" w:eastAsiaTheme="minorEastAsia" w:hAnsi="Libertinus Sans" w:cs="Libertinus Sans"/>
          <w:b/>
          <w:bCs/>
          <w:kern w:val="0"/>
          <w:szCs w:val="22"/>
          <w:lang w:val="en-US"/>
        </w:rPr>
        <w:t>CU-6</w:t>
      </w:r>
      <w:r>
        <w:rPr>
          <w:rFonts w:ascii="Libertinus Sans" w:eastAsiaTheme="minorEastAsia" w:hAnsi="Libertinus Sans" w:cs="Libertinus Sans"/>
          <w:kern w:val="0"/>
          <w:szCs w:val="22"/>
          <w:lang w:val="en-US"/>
        </w:rPr>
        <w:t xml:space="preserve">. The linker in </w:t>
      </w:r>
      <w:r>
        <w:rPr>
          <w:rFonts w:ascii="Libertinus Sans" w:eastAsiaTheme="minorEastAsia" w:hAnsi="Libertinus Sans" w:cs="Libertinus Sans"/>
          <w:b/>
          <w:bCs/>
          <w:kern w:val="0"/>
          <w:szCs w:val="22"/>
          <w:lang w:val="en-US"/>
        </w:rPr>
        <w:t xml:space="preserve">PCN-14 </w:t>
      </w:r>
      <w:r>
        <w:rPr>
          <w:rFonts w:ascii="Libertinus Sans" w:eastAsiaTheme="minorEastAsia" w:hAnsi="Libertinus Sans" w:cs="Libertinus Sans"/>
          <w:kern w:val="0"/>
          <w:szCs w:val="22"/>
          <w:lang w:val="en-US"/>
        </w:rPr>
        <w:t>shows the highest relative score; while the MOF itself is not the best performing, its performance is competitive nonetheless. Yet again, we stress that there are several aspects not captured here; we remind the reader that this remains a computationally-efficient proxy for discriminating linkers.</w:t>
      </w:r>
    </w:p>
    <w:p w14:paraId="5C9ED5C5" w14:textId="77777777" w:rsidR="001A3333" w:rsidRDefault="001A3333" w:rsidP="001A3333">
      <w:pPr>
        <w:autoSpaceDE w:val="0"/>
        <w:autoSpaceDN w:val="0"/>
        <w:adjustRightInd w:val="0"/>
        <w:spacing w:after="60" w:line="276" w:lineRule="auto"/>
        <w:jc w:val="both"/>
        <w:rPr>
          <w:rFonts w:ascii="Libertinus Sans" w:eastAsiaTheme="minorEastAsia" w:hAnsi="Libertinus Sans" w:cs="Libertinus Sans"/>
          <w:kern w:val="0"/>
          <w:szCs w:val="22"/>
          <w:lang w:val="en-US"/>
        </w:rPr>
      </w:pPr>
      <w:r>
        <w:rPr>
          <w:rFonts w:ascii="Libertinus Sans" w:eastAsiaTheme="minorEastAsia" w:hAnsi="Libertinus Sans" w:cs="Libertinus Sans"/>
          <w:noProof/>
          <w:kern w:val="0"/>
          <w:szCs w:val="22"/>
          <w:lang w:val="en-US"/>
        </w:rPr>
        <w:drawing>
          <wp:inline distT="0" distB="0" distL="0" distR="0" wp14:anchorId="5E2E53E2" wp14:editId="4B2EC863">
            <wp:extent cx="5943600" cy="1946275"/>
            <wp:effectExtent l="0" t="0" r="0" b="0"/>
            <wp:docPr id="1275484228" name="Picture 5"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4228" name="Picture 5" descr="A diagram of a molecu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46275"/>
                    </a:xfrm>
                    <a:prstGeom prst="rect">
                      <a:avLst/>
                    </a:prstGeom>
                  </pic:spPr>
                </pic:pic>
              </a:graphicData>
            </a:graphic>
          </wp:inline>
        </w:drawing>
      </w:r>
    </w:p>
    <w:p w14:paraId="547BE0D9" w14:textId="77777777" w:rsidR="001A3333" w:rsidRPr="0030682B" w:rsidRDefault="001A3333" w:rsidP="001A3333">
      <w:pPr>
        <w:autoSpaceDE w:val="0"/>
        <w:autoSpaceDN w:val="0"/>
        <w:adjustRightInd w:val="0"/>
        <w:spacing w:after="60" w:line="276" w:lineRule="auto"/>
        <w:jc w:val="both"/>
        <w:rPr>
          <w:rFonts w:ascii="Libertinus Sans" w:eastAsiaTheme="minorEastAsia" w:hAnsi="Libertinus Sans" w:cs="Libertinus Sans"/>
          <w:color w:val="0070C0"/>
          <w:kern w:val="0"/>
          <w:sz w:val="18"/>
          <w:szCs w:val="18"/>
          <w:lang w:val="en-US"/>
        </w:rPr>
      </w:pPr>
      <w:r w:rsidRPr="0030682B">
        <w:rPr>
          <w:rFonts w:ascii="Libertinus Sans" w:hAnsi="Libertinus Sans" w:cs="Libertinus Sans"/>
          <w:b/>
          <w:bCs/>
          <w:color w:val="0070C0"/>
          <w:kern w:val="0"/>
          <w:sz w:val="18"/>
          <w:szCs w:val="18"/>
          <w:lang w:val="en-US"/>
        </w:rPr>
        <w:t>Figure F</w:t>
      </w:r>
      <w:r>
        <w:rPr>
          <w:rFonts w:ascii="Libertinus Sans" w:hAnsi="Libertinus Sans" w:cs="Libertinus Sans"/>
          <w:b/>
          <w:bCs/>
          <w:color w:val="0070C0"/>
          <w:kern w:val="0"/>
          <w:sz w:val="18"/>
          <w:szCs w:val="18"/>
          <w:lang w:val="en-US"/>
        </w:rPr>
        <w:t>6</w:t>
      </w:r>
      <w:r w:rsidRPr="0030682B">
        <w:rPr>
          <w:rFonts w:ascii="Libertinus Sans" w:hAnsi="Libertinus Sans" w:cs="Libertinus Sans"/>
          <w:b/>
          <w:bCs/>
          <w:color w:val="0070C0"/>
          <w:kern w:val="0"/>
          <w:sz w:val="18"/>
          <w:szCs w:val="18"/>
          <w:lang w:val="en-US"/>
        </w:rPr>
        <w:t xml:space="preserve">. </w:t>
      </w:r>
      <m:oMath>
        <m:sSub>
          <m:sSubPr>
            <m:ctrlPr>
              <w:rPr>
                <w:rFonts w:ascii="Cambria Math" w:eastAsiaTheme="minorEastAsia" w:hAnsi="Cambria Math" w:cs="Libertinus Sans"/>
                <w:i/>
                <w:color w:val="0070C0"/>
                <w:kern w:val="0"/>
                <w:sz w:val="18"/>
                <w:szCs w:val="18"/>
                <w:lang w:val="en-US"/>
              </w:rPr>
            </m:ctrlPr>
          </m:sSubPr>
          <m:e>
            <m:r>
              <w:rPr>
                <w:rFonts w:ascii="Cambria Math" w:eastAsiaTheme="minorEastAsia" w:hAnsi="Cambria Math" w:cs="Libertinus Sans"/>
                <w:color w:val="0070C0"/>
                <w:kern w:val="0"/>
                <w:sz w:val="18"/>
                <w:szCs w:val="18"/>
                <w:lang w:val="en-US"/>
              </w:rPr>
              <m:t>R</m:t>
            </m:r>
          </m:e>
          <m:sub>
            <m:r>
              <w:rPr>
                <w:rFonts w:ascii="Cambria Math" w:eastAsiaTheme="minorEastAsia" w:hAnsi="Cambria Math" w:cs="Libertinus Sans"/>
                <w:color w:val="0070C0"/>
                <w:kern w:val="0"/>
                <w:sz w:val="18"/>
                <w:szCs w:val="18"/>
                <w:lang w:val="en-US"/>
              </w:rPr>
              <m:t>gas</m:t>
            </m:r>
          </m:sub>
        </m:sSub>
      </m:oMath>
      <w:r w:rsidRPr="0030682B">
        <w:rPr>
          <w:rFonts w:ascii="Libertinus Sans" w:eastAsiaTheme="minorEastAsia" w:hAnsi="Libertinus Sans" w:cs="Libertinus Sans"/>
          <w:color w:val="0070C0"/>
          <w:kern w:val="0"/>
          <w:sz w:val="18"/>
          <w:szCs w:val="18"/>
          <w:lang w:val="en-US"/>
        </w:rPr>
        <w:t xml:space="preserve"> scores for linkers belong to top-performing MOFs for CH</w:t>
      </w:r>
      <w:r w:rsidRPr="0030682B">
        <w:rPr>
          <w:rFonts w:ascii="Libertinus Sans" w:eastAsiaTheme="minorEastAsia" w:hAnsi="Libertinus Sans" w:cs="Libertinus Sans"/>
          <w:color w:val="0070C0"/>
          <w:kern w:val="0"/>
          <w:sz w:val="18"/>
          <w:szCs w:val="18"/>
          <w:vertAlign w:val="subscript"/>
          <w:lang w:val="en-US"/>
        </w:rPr>
        <w:t xml:space="preserve">4 </w:t>
      </w:r>
      <w:r w:rsidRPr="0030682B">
        <w:rPr>
          <w:rFonts w:ascii="Libertinus Sans" w:eastAsiaTheme="minorEastAsia" w:hAnsi="Libertinus Sans" w:cs="Libertinus Sans"/>
          <w:color w:val="0070C0"/>
          <w:kern w:val="0"/>
          <w:sz w:val="18"/>
          <w:szCs w:val="18"/>
          <w:lang w:val="en-US"/>
        </w:rPr>
        <w:t xml:space="preserve">storage. There is a </w:t>
      </w:r>
      <w:r>
        <w:rPr>
          <w:rFonts w:ascii="Libertinus Sans" w:eastAsiaTheme="minorEastAsia" w:hAnsi="Libertinus Sans" w:cs="Libertinus Sans"/>
          <w:color w:val="0070C0"/>
          <w:kern w:val="0"/>
          <w:sz w:val="18"/>
          <w:szCs w:val="18"/>
          <w:lang w:val="en-US"/>
        </w:rPr>
        <w:t>reasonable</w:t>
      </w:r>
      <w:r w:rsidRPr="0030682B">
        <w:rPr>
          <w:rFonts w:ascii="Libertinus Sans" w:eastAsiaTheme="minorEastAsia" w:hAnsi="Libertinus Sans" w:cs="Libertinus Sans"/>
          <w:color w:val="0070C0"/>
          <w:kern w:val="0"/>
          <w:sz w:val="18"/>
          <w:szCs w:val="18"/>
          <w:lang w:val="en-US"/>
        </w:rPr>
        <w:t xml:space="preserve"> correlation between the score assigned to the linker and the reported gravimetric </w:t>
      </w:r>
      <w:r>
        <w:rPr>
          <w:rFonts w:ascii="Libertinus Sans" w:eastAsiaTheme="minorEastAsia" w:hAnsi="Libertinus Sans" w:cs="Libertinus Sans"/>
          <w:color w:val="0070C0"/>
          <w:kern w:val="0"/>
          <w:sz w:val="18"/>
          <w:szCs w:val="18"/>
          <w:lang w:val="en-US"/>
        </w:rPr>
        <w:t xml:space="preserve">and volumetric </w:t>
      </w:r>
      <w:r w:rsidRPr="0030682B">
        <w:rPr>
          <w:rFonts w:ascii="Libertinus Sans" w:eastAsiaTheme="minorEastAsia" w:hAnsi="Libertinus Sans" w:cs="Libertinus Sans"/>
          <w:color w:val="0070C0"/>
          <w:kern w:val="0"/>
          <w:sz w:val="18"/>
          <w:szCs w:val="18"/>
          <w:lang w:val="en-US"/>
        </w:rPr>
        <w:t>storage capacit</w:t>
      </w:r>
      <w:r>
        <w:rPr>
          <w:rFonts w:ascii="Libertinus Sans" w:eastAsiaTheme="minorEastAsia" w:hAnsi="Libertinus Sans" w:cs="Libertinus Sans"/>
          <w:color w:val="0070C0"/>
          <w:kern w:val="0"/>
          <w:sz w:val="18"/>
          <w:szCs w:val="18"/>
          <w:lang w:val="en-US"/>
        </w:rPr>
        <w:t>ies</w:t>
      </w:r>
      <w:r w:rsidRPr="0030682B">
        <w:rPr>
          <w:rFonts w:ascii="Libertinus Sans" w:eastAsiaTheme="minorEastAsia" w:hAnsi="Libertinus Sans" w:cs="Libertinus Sans"/>
          <w:color w:val="0070C0"/>
          <w:kern w:val="0"/>
          <w:sz w:val="18"/>
          <w:szCs w:val="18"/>
          <w:lang w:val="en-US"/>
        </w:rPr>
        <w:t xml:space="preserve"> of the MOF. However, for a complete assessment, it is crucial to account for metal-node effects, topology and volumetric packing. </w:t>
      </w:r>
    </w:p>
    <w:p w14:paraId="2F6DCF75" w14:textId="77777777" w:rsidR="001A3333" w:rsidRDefault="001A3333" w:rsidP="001A3333">
      <w:pPr>
        <w:autoSpaceDE w:val="0"/>
        <w:autoSpaceDN w:val="0"/>
        <w:adjustRightInd w:val="0"/>
        <w:spacing w:after="60" w:line="276" w:lineRule="auto"/>
        <w:rPr>
          <w:rFonts w:ascii="Times New Roman" w:eastAsiaTheme="minorEastAsia" w:hAnsi="Times New Roman" w:cs="Times New Roman"/>
          <w:noProof/>
          <w:kern w:val="0"/>
          <w:szCs w:val="22"/>
        </w:rPr>
      </w:pPr>
    </w:p>
    <w:p w14:paraId="22BC8130" w14:textId="77777777" w:rsidR="001A3333" w:rsidRDefault="001A3333" w:rsidP="001A3333">
      <w:pPr>
        <w:autoSpaceDE w:val="0"/>
        <w:autoSpaceDN w:val="0"/>
        <w:adjustRightInd w:val="0"/>
        <w:spacing w:after="60" w:line="276" w:lineRule="auto"/>
        <w:rPr>
          <w:rFonts w:ascii="Times New Roman" w:eastAsiaTheme="minorEastAsia" w:hAnsi="Times New Roman" w:cs="Times New Roman"/>
          <w:noProof/>
          <w:kern w:val="0"/>
          <w:szCs w:val="22"/>
        </w:rPr>
      </w:pPr>
      <w:r w:rsidRPr="00017F41">
        <w:rPr>
          <w:rFonts w:ascii="Libertinus Sans" w:hAnsi="Libertinus Sans" w:cs="Libertinus Sans"/>
          <w:b/>
          <w:bCs/>
          <w:kern w:val="0"/>
          <w:szCs w:val="22"/>
          <w:lang w:val="en-US"/>
        </w:rPr>
        <w:t>F.</w:t>
      </w:r>
      <w:r>
        <w:rPr>
          <w:rFonts w:ascii="Libertinus Sans" w:hAnsi="Libertinus Sans" w:cs="Libertinus Sans"/>
          <w:b/>
          <w:bCs/>
          <w:kern w:val="0"/>
          <w:szCs w:val="22"/>
          <w:lang w:val="en-US"/>
        </w:rPr>
        <w:t>2. Biocompatibility.</w:t>
      </w:r>
    </w:p>
    <w:p w14:paraId="34B4E56E" w14:textId="4D23316A" w:rsidR="00274547" w:rsidRDefault="00A3035B">
      <w:r>
        <w:t xml:space="preserve">For drug-delivery applications, the goal is not only to identify synthetically plausible linkers, but to prioritize chemotypes that remain safe, soluble, and functionally effective after framework assembly. </w:t>
      </w:r>
      <w:r w:rsidR="00664428">
        <w:t xml:space="preserve">Consistent with </w:t>
      </w:r>
      <w:r>
        <w:t xml:space="preserve">the gas-storage analysis above, we preserve the geometric </w:t>
      </w:r>
      <w:r w:rsidR="00664428">
        <w:t xml:space="preserve">approach </w:t>
      </w:r>
      <w:r>
        <w:t xml:space="preserve">of </w:t>
      </w:r>
      <w:r>
        <w:lastRenderedPageBreak/>
        <w:t xml:space="preserve">linker-level screening while introducing </w:t>
      </w:r>
      <w:r w:rsidR="00924F61">
        <w:t xml:space="preserve">safety, performance and </w:t>
      </w:r>
      <w:r w:rsidR="004C045E">
        <w:t>compatibility</w:t>
      </w:r>
      <w:r w:rsidR="00924F61">
        <w:t xml:space="preserve"> </w:t>
      </w:r>
      <w:r>
        <w:t>controls that are directly relevant to biomedical deployment.</w:t>
      </w:r>
    </w:p>
    <w:p w14:paraId="1AD28262" w14:textId="51473952" w:rsidR="00274547" w:rsidRDefault="00A3035B">
      <w:r>
        <w:t>The logic of this reward is modular</w:t>
      </w:r>
      <w:r w:rsidR="001033CF">
        <w:t>, including (i)</w:t>
      </w:r>
      <w:r>
        <w:t xml:space="preserve"> </w:t>
      </w:r>
      <w:r w:rsidR="00490391">
        <w:rPr>
          <w:b/>
          <w:bCs/>
        </w:rPr>
        <w:t>S</w:t>
      </w:r>
      <w:r w:rsidRPr="001033CF">
        <w:rPr>
          <w:b/>
          <w:bCs/>
        </w:rPr>
        <w:t>afety</w:t>
      </w:r>
      <w:r>
        <w:t xml:space="preserve"> terms penaliz</w:t>
      </w:r>
      <w:r w:rsidR="001033CF">
        <w:t>ing</w:t>
      </w:r>
      <w:r>
        <w:t xml:space="preserve"> metals and linker chemistries </w:t>
      </w:r>
      <w:r w:rsidR="00924F61">
        <w:t xml:space="preserve">or fragments </w:t>
      </w:r>
      <w:r>
        <w:t>associated with high acute-toxicity risk</w:t>
      </w:r>
      <w:r w:rsidR="001033CF">
        <w:t xml:space="preserve"> (ii) </w:t>
      </w:r>
      <w:r w:rsidR="00490391">
        <w:rPr>
          <w:b/>
          <w:bCs/>
        </w:rPr>
        <w:t>P</w:t>
      </w:r>
      <w:r w:rsidRPr="001033CF">
        <w:rPr>
          <w:b/>
          <w:bCs/>
        </w:rPr>
        <w:t>erformance</w:t>
      </w:r>
      <w:r>
        <w:t xml:space="preserve"> </w:t>
      </w:r>
      <w:r w:rsidR="001033CF">
        <w:t>emphasis</w:t>
      </w:r>
      <w:r w:rsidR="006F3F57">
        <w:t>ing</w:t>
      </w:r>
      <w:r>
        <w:t xml:space="preserve"> linker span</w:t>
      </w:r>
      <w:r w:rsidR="00BF4A32">
        <w:t>, solubility</w:t>
      </w:r>
      <w:r>
        <w:t xml:space="preserve"> and accessible </w:t>
      </w:r>
      <w:r w:rsidR="00EF6572">
        <w:t xml:space="preserve">porosity properties for </w:t>
      </w:r>
      <w:r>
        <w:t xml:space="preserve">loading space, </w:t>
      </w:r>
      <w:r w:rsidR="00BF4A32">
        <w:t xml:space="preserve">which </w:t>
      </w:r>
      <w:r w:rsidR="00EF6572">
        <w:t xml:space="preserve">include </w:t>
      </w:r>
      <w:r w:rsidR="00BF4A32">
        <w:t>pore-limiting diameter (</w:t>
      </w:r>
      <w:r w:rsidR="00D6048F">
        <w:t>PLD</w:t>
      </w:r>
      <w:r w:rsidR="00BF4A32">
        <w:t xml:space="preserve">) </w:t>
      </w:r>
      <w:r w:rsidR="00EF6572">
        <w:t>and accessible surface area (</w:t>
      </w:r>
      <w:r w:rsidR="00D6048F">
        <w:t>ASA</w:t>
      </w:r>
      <w:r w:rsidR="00EF6572">
        <w:t>) or SMILES-derived approximations if unavailable</w:t>
      </w:r>
      <w:r>
        <w:t xml:space="preserve">. </w:t>
      </w:r>
      <w:r w:rsidR="00EF6572">
        <w:t xml:space="preserve">(iii) </w:t>
      </w:r>
      <w:r w:rsidRPr="00EF6572">
        <w:rPr>
          <w:b/>
          <w:bCs/>
        </w:rPr>
        <w:t>Benign-linker</w:t>
      </w:r>
      <w:r>
        <w:t xml:space="preserve"> terms suppress</w:t>
      </w:r>
      <w:r w:rsidR="00EF6572">
        <w:t>ing</w:t>
      </w:r>
      <w:r>
        <w:t xml:space="preserve"> strongly interacting or reactive motifs that can trap, degrade, or perturb therapeutic cargo</w:t>
      </w:r>
      <w:r w:rsidR="00EF6572">
        <w:t xml:space="preserve">, (iv) </w:t>
      </w:r>
      <w:r w:rsidRPr="00EF6572">
        <w:rPr>
          <w:b/>
          <w:bCs/>
        </w:rPr>
        <w:t>Stability</w:t>
      </w:r>
      <w:r>
        <w:t xml:space="preserve"> </w:t>
      </w:r>
      <w:r w:rsidR="00EF6572">
        <w:t xml:space="preserve">prioritising </w:t>
      </w:r>
      <w:r>
        <w:t>candidates less likely to trigger burst release, premature linker failure, or charge-driven instability under physiological conditions</w:t>
      </w:r>
      <w:r w:rsidR="00C563BB">
        <w:t xml:space="preserve">, finally (v) </w:t>
      </w:r>
      <w:r w:rsidR="00C563BB" w:rsidRPr="00C563BB">
        <w:rPr>
          <w:b/>
          <w:bCs/>
        </w:rPr>
        <w:t>Penalty</w:t>
      </w:r>
      <w:r w:rsidR="00C563BB">
        <w:t xml:space="preserve"> element penalising </w:t>
      </w:r>
      <w:r w:rsidR="00490391">
        <w:t>linkers with known toxicity warnings and extreme charge states.</w:t>
      </w:r>
    </w:p>
    <w:p w14:paraId="18E09FC7" w14:textId="77777777" w:rsidR="00274547" w:rsidRDefault="00A3035B">
      <w:r>
        <w:t>The biocompatibility objective is defined as:</w:t>
      </w:r>
    </w:p>
    <w:p w14:paraId="7C5E5547" w14:textId="19BB50F5" w:rsidR="00274547" w:rsidRDefault="00A3035B">
      <m:oMathPara>
        <m:oMath>
          <m:sSub>
            <m:sSubPr>
              <m:ctrlPr>
                <w:rPr>
                  <w:rFonts w:ascii="Cambria Math" w:hAnsi="Cambria Math"/>
                  <w:i/>
                </w:rPr>
              </m:ctrlPr>
            </m:sSubPr>
            <m:e>
              <m:r>
                <w:rPr>
                  <w:rFonts w:ascii="Cambria Math" w:eastAsiaTheme="minorEastAsia" w:hAnsi="Cambria Math"/>
                </w:rPr>
                <m:t>R</m:t>
              </m:r>
            </m:e>
            <m:sub>
              <m:r>
                <w:rPr>
                  <w:rFonts w:ascii="Cambria Math" w:hAnsi="Cambria Math"/>
                </w:rPr>
                <m:t>bio</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m:t>
              </m:r>
            </m:sub>
          </m:sSub>
          <m:r>
            <w:rPr>
              <w:rFonts w:ascii="Cambria Math" w:hAnsi="Cambria Math"/>
            </w:rPr>
            <m:t>P</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B</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r>
            <w:rPr>
              <w:rFonts w:ascii="Cambria Math" w:hAnsi="Cambria Math"/>
            </w:rPr>
            <m:t>T</m:t>
          </m:r>
          <m:r>
            <w:rPr>
              <w:rFonts w:ascii="Cambria Math" w:hAnsi="Cambria Math"/>
            </w:rPr>
            <m:t>-</m:t>
          </m:r>
          <m:r>
            <w:rPr>
              <w:rFonts w:ascii="Cambria Math" w:hAnsi="Cambria Math"/>
            </w:rPr>
            <m:t>P</m:t>
          </m:r>
        </m:oMath>
      </m:oMathPara>
    </w:p>
    <w:p w14:paraId="49FA89A4" w14:textId="17E2BC04" w:rsidR="00274547" w:rsidRDefault="00A3035B">
      <w:r>
        <w:t xml:space="preserve">where </w:t>
      </w:r>
      <w:r w:rsidRPr="006459E6">
        <w:rPr>
          <w:rFonts w:eastAsiaTheme="minorEastAsia"/>
          <w:i/>
          <w:iCs/>
        </w:rPr>
        <w:t>S</w:t>
      </w:r>
      <w:r>
        <w:t xml:space="preserve">, </w:t>
      </w:r>
      <w:r w:rsidRPr="006459E6">
        <w:rPr>
          <w:i/>
          <w:iCs/>
        </w:rPr>
        <w:t>P</w:t>
      </w:r>
      <w:r>
        <w:t xml:space="preserve">, </w:t>
      </w:r>
      <w:r w:rsidRPr="006459E6">
        <w:rPr>
          <w:i/>
          <w:iCs/>
        </w:rPr>
        <w:t>B</w:t>
      </w:r>
      <w:r>
        <w:t xml:space="preserve">, and </w:t>
      </w:r>
      <w:r w:rsidRPr="006459E6">
        <w:rPr>
          <w:i/>
          <w:iCs/>
        </w:rPr>
        <w:t>T</w:t>
      </w:r>
      <w:r>
        <w:t xml:space="preserve"> denote safety, performance, benign-linker behaviour, and stability sub-scores, respectively, and </w:t>
      </w:r>
      <w:r w:rsidRPr="006459E6">
        <w:rPr>
          <w:i/>
          <w:iCs/>
        </w:rPr>
        <w:t>P</w:t>
      </w:r>
      <w:r>
        <w:t xml:space="preserve"> is an explicit penalty for </w:t>
      </w:r>
      <w:r w:rsidR="006459E6">
        <w:t xml:space="preserve">warnings and </w:t>
      </w:r>
      <w:r>
        <w:t>extreme charge states.</w:t>
      </w:r>
      <w:r w:rsidR="009A3003">
        <w:t xml:space="preserve"> All scores and components are ranged between [0,1].</w:t>
      </w:r>
    </w:p>
    <w:p w14:paraId="6F786F08" w14:textId="1F5222E2" w:rsidR="00E9375D" w:rsidRDefault="000121BE" w:rsidP="0059293B">
      <w:pPr>
        <w:jc w:val="center"/>
      </w:pPr>
      <w:r w:rsidRPr="000121BE">
        <w:drawing>
          <wp:inline distT="0" distB="0" distL="0" distR="0" wp14:anchorId="2D10EE6D" wp14:editId="61BD3333">
            <wp:extent cx="4556687" cy="2660015"/>
            <wp:effectExtent l="0" t="0" r="0" b="6985"/>
            <wp:docPr id="14653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70174" name=""/>
                    <pic:cNvPicPr/>
                  </pic:nvPicPr>
                  <pic:blipFill>
                    <a:blip r:embed="rId10"/>
                    <a:stretch>
                      <a:fillRect/>
                    </a:stretch>
                  </pic:blipFill>
                  <pic:spPr>
                    <a:xfrm>
                      <a:off x="0" y="0"/>
                      <a:ext cx="4561451" cy="2662796"/>
                    </a:xfrm>
                    <a:prstGeom prst="rect">
                      <a:avLst/>
                    </a:prstGeom>
                  </pic:spPr>
                </pic:pic>
              </a:graphicData>
            </a:graphic>
          </wp:inline>
        </w:drawing>
      </w:r>
    </w:p>
    <w:p w14:paraId="682295FD" w14:textId="3FC21779" w:rsidR="00401BE3" w:rsidRDefault="00863F8D">
      <w:r>
        <w:t xml:space="preserve">Figure </w:t>
      </w:r>
      <w:r w:rsidR="00401BE3">
        <w:t xml:space="preserve">F7 shows the distribution of the biocompatibility scores across the training set (n=25,000) of linkers, of which 93.76% produced valid scores after </w:t>
      </w:r>
      <w:r w:rsidR="00401BE3" w:rsidRPr="00401BE3">
        <w:t>invalid SMILES cleaning/parsing</w:t>
      </w:r>
      <w:r w:rsidR="00401BE3">
        <w:t xml:space="preserve">. </w:t>
      </w:r>
      <w:r w:rsidR="00401BE3" w:rsidRPr="00401BE3">
        <w:t>The total score distribution remains broad (min=0.288, max=0.793, median=0.</w:t>
      </w:r>
      <w:r w:rsidR="000121BE">
        <w:t>469</w:t>
      </w:r>
      <w:r w:rsidR="00401BE3" w:rsidRPr="00401BE3">
        <w:t>), indicating non-collapsed ranking capacity for optimization loops</w:t>
      </w:r>
      <w:r w:rsidR="00401BE3">
        <w:t>.</w:t>
      </w:r>
    </w:p>
    <w:p w14:paraId="5CA2B830" w14:textId="7463ACBD" w:rsidR="0067318C" w:rsidRDefault="00A3035B">
      <w:r w:rsidRPr="00E757BC">
        <w:t xml:space="preserve">The </w:t>
      </w:r>
      <w:r w:rsidRPr="00E757BC">
        <w:rPr>
          <w:b/>
          <w:bCs/>
        </w:rPr>
        <w:t>safety block</w:t>
      </w:r>
      <w:r>
        <w:t xml:space="preserve"> combines: (i) metal-node safety from curated LD50-based priors</w:t>
      </w:r>
      <w:r w:rsidR="00037A16">
        <w:t xml:space="preserve"> reported by Menon (202</w:t>
      </w:r>
      <w:r w:rsidR="00C163A9">
        <w:t>5</w:t>
      </w:r>
      <w:r w:rsidR="00037A16">
        <w:t>)</w:t>
      </w:r>
      <w:r>
        <w:t xml:space="preserve">, (ii) toxicity-space proximity derived from acute-toxicity chemistry, and (iii) formal-charge safety. </w:t>
      </w:r>
    </w:p>
    <w:p w14:paraId="13DD86F7" w14:textId="61380CEA" w:rsidR="0067318C" w:rsidRDefault="00A3035B">
      <m:oMathPara>
        <m:oMath>
          <m:sSub>
            <m:sSubPr>
              <m:ctrlPr>
                <w:rPr>
                  <w:rFonts w:ascii="Cambria Math" w:hAnsi="Cambria Math"/>
                  <w:i/>
                  <w:iCs/>
                </w:rPr>
              </m:ctrlPr>
            </m:sSubPr>
            <m:e>
              <m:r>
                <w:rPr>
                  <w:rFonts w:ascii="Cambria Math" w:hAnsi="Cambria Math"/>
                </w:rPr>
                <m:t>S</m:t>
              </m:r>
            </m:e>
            <m:sub>
              <m:r>
                <w:rPr>
                  <w:rFonts w:ascii="Cambria Math" w:hAnsi="Cambria Math"/>
                </w:rPr>
                <m:t>safety</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α</m:t>
              </m:r>
            </m:e>
            <m:sub>
              <m:r>
                <w:rPr>
                  <w:rFonts w:ascii="Cambria Math" w:hAnsi="Cambria Math"/>
                </w:rPr>
                <m:t>m</m:t>
              </m:r>
            </m:sub>
          </m:sSub>
          <m:sSub>
            <m:sSubPr>
              <m:ctrlPr>
                <w:rPr>
                  <w:rFonts w:ascii="Cambria Math" w:hAnsi="Cambria Math"/>
                  <w:i/>
                  <w:iCs/>
                </w:rPr>
              </m:ctrlPr>
            </m:sSubPr>
            <m:e>
              <m:r>
                <w:rPr>
                  <w:rFonts w:ascii="Cambria Math" w:hAnsi="Cambria Math"/>
                </w:rPr>
                <m:t>M</m:t>
              </m:r>
            </m:e>
            <m:sub>
              <m:r>
                <w:rPr>
                  <w:rFonts w:ascii="Cambria Math" w:hAnsi="Cambria Math"/>
                </w:rPr>
                <m:t>tox</m:t>
              </m:r>
              <m:r>
                <w:rPr>
                  <w:rFonts w:ascii="Cambria Math" w:hAnsi="Cambria Math"/>
                </w:rPr>
                <m:t>.</m:t>
              </m:r>
              <m:r>
                <w:rPr>
                  <w:rFonts w:ascii="Cambria Math" w:hAnsi="Cambria Math"/>
                </w:rPr>
                <m:t>metal</m:t>
              </m:r>
            </m:sub>
          </m:sSub>
          <m:r>
            <m:rPr>
              <m:sty m:val="p"/>
            </m:rPr>
            <w:rPr>
              <w:rFonts w:ascii="Cambria Math" w:hAnsi="Cambria Math"/>
              <w:rtl/>
              <w:lang w:bidi="ar-AE"/>
            </w:rPr>
            <m:t>+</m:t>
          </m:r>
          <m:r>
            <m:rPr>
              <m:nor/>
            </m:rPr>
            <w:rPr>
              <w:i/>
              <w:iCs/>
              <w:rtl/>
              <w:lang w:bidi="ar-AE"/>
            </w:rPr>
            <m:t> </m:t>
          </m:r>
          <m:sSub>
            <m:sSubPr>
              <m:ctrlPr>
                <w:rPr>
                  <w:rFonts w:ascii="Cambria Math" w:hAnsi="Cambria Math"/>
                  <w:i/>
                  <w:iCs/>
                </w:rPr>
              </m:ctrlPr>
            </m:sSubPr>
            <m:e>
              <m:r>
                <w:rPr>
                  <w:rFonts w:ascii="Cambria Math" w:hAnsi="Cambria Math"/>
                </w:rPr>
                <m:t>α</m:t>
              </m:r>
            </m:e>
            <m:sub>
              <m:r>
                <w:rPr>
                  <w:rFonts w:ascii="Cambria Math" w:hAnsi="Cambria Math"/>
                </w:rPr>
                <m:t>t</m:t>
              </m:r>
            </m:sub>
          </m:sSub>
          <m:sSub>
            <m:sSubPr>
              <m:ctrlPr>
                <w:rPr>
                  <w:rFonts w:ascii="Cambria Math" w:hAnsi="Cambria Math"/>
                  <w:i/>
                  <w:iCs/>
                </w:rPr>
              </m:ctrlPr>
            </m:sSubPr>
            <m:e>
              <m:r>
                <w:rPr>
                  <w:rFonts w:ascii="Cambria Math" w:hAnsi="Cambria Math"/>
                </w:rPr>
                <m:t>T</m:t>
              </m:r>
            </m:e>
            <m:sub>
              <m:r>
                <w:rPr>
                  <w:rFonts w:ascii="Cambria Math" w:hAnsi="Cambria Math"/>
                </w:rPr>
                <m:t>tox</m:t>
              </m:r>
              <m:r>
                <w:rPr>
                  <w:rFonts w:ascii="Cambria Math" w:hAnsi="Cambria Math"/>
                </w:rPr>
                <m:t>.</m:t>
              </m:r>
              <m:r>
                <w:rPr>
                  <w:rFonts w:ascii="Cambria Math" w:hAnsi="Cambria Math"/>
                </w:rPr>
                <m:t>space</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α</m:t>
              </m:r>
            </m:e>
            <m:sub>
              <m:r>
                <w:rPr>
                  <w:rFonts w:ascii="Cambria Math" w:hAnsi="Cambria Math"/>
                </w:rPr>
                <m:t>q</m:t>
              </m:r>
            </m:sub>
          </m:sSub>
          <m:sSub>
            <m:sSubPr>
              <m:ctrlPr>
                <w:rPr>
                  <w:rFonts w:ascii="Cambria Math" w:hAnsi="Cambria Math"/>
                  <w:i/>
                  <w:iCs/>
                </w:rPr>
              </m:ctrlPr>
            </m:sSubPr>
            <m:e>
              <m:r>
                <w:rPr>
                  <w:rFonts w:ascii="Cambria Math" w:hAnsi="Cambria Math"/>
                </w:rPr>
                <m:t>Q</m:t>
              </m:r>
            </m:e>
            <m:sub>
              <m:r>
                <w:rPr>
                  <w:rFonts w:ascii="Cambria Math" w:hAnsi="Cambria Math"/>
                </w:rPr>
                <m:t>c</m:t>
              </m:r>
              <m:r>
                <w:rPr>
                  <w:rFonts w:ascii="Cambria Math" w:hAnsi="Cambria Math"/>
                </w:rPr>
                <m:t>h</m:t>
              </m:r>
              <m:r>
                <w:rPr>
                  <w:rFonts w:ascii="Cambria Math" w:hAnsi="Cambria Math"/>
                </w:rPr>
                <m:t>arge</m:t>
              </m:r>
            </m:sub>
          </m:sSub>
        </m:oMath>
      </m:oMathPara>
    </w:p>
    <w:p w14:paraId="2B7F345E" w14:textId="28B9F3ED" w:rsidR="00274547" w:rsidRDefault="00A3035B" w:rsidP="00401BE3">
      <w:r>
        <w:lastRenderedPageBreak/>
        <w:t xml:space="preserve">The toxicity-space term is built from descriptor and fingerprint neighbourhoods </w:t>
      </w:r>
      <w:r w:rsidR="002F5083">
        <w:t xml:space="preserve">obtained from </w:t>
      </w:r>
      <w:r w:rsidR="007829D9">
        <w:t>LD50 readouts for 35,300 compounds in TOXRIC Database (Wu, 202</w:t>
      </w:r>
      <w:r w:rsidR="0059293B">
        <w:t>2</w:t>
      </w:r>
      <w:r w:rsidR="007829D9">
        <w:t>)</w:t>
      </w:r>
      <w:r w:rsidR="00401BE3">
        <w:t>. 55-feature standardized numeric manifold (RDKit descriptors) and ECFP4 fingerprint manifold (2048 bits) were blended by learned block weights: numeric 0.62, fingerprint 0.38. Toxicity s</w:t>
      </w:r>
      <w:r>
        <w:t>everity</w:t>
      </w:r>
      <w:r w:rsidR="00401BE3">
        <w:t xml:space="preserve"> was </w:t>
      </w:r>
      <w:r>
        <w:t xml:space="preserve">weighted across GHS classes </w:t>
      </w:r>
      <w:r w:rsidR="00AF5475">
        <w:t xml:space="preserve">(Class 1 as the most severe to Class 5 associated with least toxic compounds) </w:t>
      </w:r>
      <w:r w:rsidR="007829D9">
        <w:t xml:space="preserve">so </w:t>
      </w:r>
      <w:r>
        <w:t xml:space="preserve">that proximity </w:t>
      </w:r>
      <w:r w:rsidR="00401BE3">
        <w:t xml:space="preserve">(k-NN) </w:t>
      </w:r>
      <w:r>
        <w:t>to highly toxic regions is penalized more strongly.</w:t>
      </w:r>
    </w:p>
    <w:p w14:paraId="61B6CB73" w14:textId="77777777" w:rsidR="00E9375D" w:rsidRDefault="00443718">
      <w:r>
        <w:t xml:space="preserve">Toxicity-space was validated using several MOF that were reported to have been tested for drug delivery applications, including </w:t>
      </w:r>
      <w:r w:rsidR="00DF2F3B" w:rsidRPr="00DF2F3B">
        <w:t>PCN-222</w:t>
      </w:r>
      <w:r w:rsidR="00DF2F3B">
        <w:t xml:space="preserve"> (</w:t>
      </w:r>
      <w:r w:rsidR="00DF2F3B" w:rsidRPr="00DF2F3B">
        <w:t>Tetrakis (4-carboxyphenyl) porphyrin (TCPP)</w:t>
      </w:r>
      <w:r w:rsidR="00DF2F3B">
        <w:t xml:space="preserve"> linker), </w:t>
      </w:r>
      <w:r w:rsidR="00DF2F3B" w:rsidRPr="00DF2F3B">
        <w:t>UiO-66</w:t>
      </w:r>
      <w:r w:rsidR="00DF2F3B">
        <w:t xml:space="preserve"> (</w:t>
      </w:r>
      <w:r w:rsidR="00DF2F3B" w:rsidRPr="00DF2F3B">
        <w:t>terephthalic acid</w:t>
      </w:r>
      <w:r w:rsidR="00DF2F3B">
        <w:t xml:space="preserve"> linker), NU-1000 (</w:t>
      </w:r>
      <w:r w:rsidR="00DF2F3B" w:rsidRPr="00DF2F3B">
        <w:t>Pyrene tetrabenzoic acid</w:t>
      </w:r>
      <w:r w:rsidR="00DF2F3B">
        <w:t>) and ZIF-8 (</w:t>
      </w:r>
      <w:r w:rsidR="00DF2F3B" w:rsidRPr="00DF2F3B">
        <w:t>2-imidazoline</w:t>
      </w:r>
      <w:r w:rsidR="00DF2F3B">
        <w:t xml:space="preserve">, featuring known LD50 oral </w:t>
      </w:r>
      <w:r w:rsidR="00DF2F3B" w:rsidRPr="00DF2F3B">
        <w:t xml:space="preserve">rat </w:t>
      </w:r>
      <w:r w:rsidR="00DF2F3B">
        <w:t xml:space="preserve">toxicity at </w:t>
      </w:r>
      <w:r w:rsidR="00DF2F3B" w:rsidRPr="00DF2F3B">
        <w:t>~ 1</w:t>
      </w:r>
      <w:r w:rsidR="00DF2F3B">
        <w:t>,</w:t>
      </w:r>
      <w:r w:rsidR="00DF2F3B" w:rsidRPr="00DF2F3B">
        <w:t>400 mg/kg</w:t>
      </w:r>
      <w:r w:rsidR="00DF2F3B">
        <w:t xml:space="preserve">). </w:t>
      </w:r>
    </w:p>
    <w:p w14:paraId="0F690DFE" w14:textId="7776D59A" w:rsidR="00E9375D" w:rsidRDefault="00863F8D">
      <w:r w:rsidRPr="00863F8D">
        <w:rPr>
          <w:noProof/>
        </w:rPr>
        <w:drawing>
          <wp:inline distT="0" distB="0" distL="0" distR="0" wp14:anchorId="1B55CD93" wp14:editId="4778919C">
            <wp:extent cx="5943600" cy="2403475"/>
            <wp:effectExtent l="0" t="0" r="0" b="0"/>
            <wp:docPr id="13387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3533" name=""/>
                    <pic:cNvPicPr/>
                  </pic:nvPicPr>
                  <pic:blipFill>
                    <a:blip r:embed="rId11"/>
                    <a:stretch>
                      <a:fillRect/>
                    </a:stretch>
                  </pic:blipFill>
                  <pic:spPr>
                    <a:xfrm>
                      <a:off x="0" y="0"/>
                      <a:ext cx="5943600" cy="2403475"/>
                    </a:xfrm>
                    <a:prstGeom prst="rect">
                      <a:avLst/>
                    </a:prstGeom>
                  </pic:spPr>
                </pic:pic>
              </a:graphicData>
            </a:graphic>
          </wp:inline>
        </w:drawing>
      </w:r>
    </w:p>
    <w:p w14:paraId="1B0419B6" w14:textId="30AFC550" w:rsidR="00443718" w:rsidRDefault="00E9375D">
      <w:r>
        <w:t>Figure F</w:t>
      </w:r>
      <w:r w:rsidR="00863F8D">
        <w:t>8</w:t>
      </w:r>
      <w:r>
        <w:t>: I</w:t>
      </w:r>
      <w:r w:rsidR="00DF2F3B">
        <w:t xml:space="preserve">llustrates </w:t>
      </w:r>
      <w:r>
        <w:t xml:space="preserve">2-dimensional PCA and UMAP </w:t>
      </w:r>
      <w:r w:rsidR="00DF2F3B">
        <w:t>shape of the toxicity-space and positioning of TCPP linker, which is placed in close proximity to non-toxic domain</w:t>
      </w:r>
      <w:r>
        <w:t>, as expected, validating the latent structure of the toxicity space.</w:t>
      </w:r>
    </w:p>
    <w:p w14:paraId="59B8ED4A" w14:textId="77777777" w:rsidR="00CD07F9" w:rsidRDefault="00A3035B">
      <w:r>
        <w:t xml:space="preserve">The </w:t>
      </w:r>
      <w:r w:rsidRPr="00E757BC">
        <w:rPr>
          <w:b/>
          <w:bCs/>
        </w:rPr>
        <w:t>performance block</w:t>
      </w:r>
      <w:r>
        <w:t xml:space="preserve"> combines linker length, solubility, and surface/loading proxies. </w:t>
      </w:r>
    </w:p>
    <w:p w14:paraId="71A665D3" w14:textId="5870B2EA" w:rsidR="00CD07F9" w:rsidRDefault="00A3035B" w:rsidP="00CD07F9">
      <m:oMathPara>
        <m:oMath>
          <m:sSub>
            <m:sSubPr>
              <m:ctrlPr>
                <w:rPr>
                  <w:rFonts w:ascii="Cambria Math" w:hAnsi="Cambria Math"/>
                  <w:i/>
                  <w:iCs/>
                </w:rPr>
              </m:ctrlPr>
            </m:sSubPr>
            <m:e>
              <m:r>
                <w:rPr>
                  <w:rFonts w:ascii="Cambria Math" w:hAnsi="Cambria Math"/>
                </w:rPr>
                <m:t>P</m:t>
              </m:r>
            </m:e>
            <m:sub>
              <m:r>
                <w:rPr>
                  <w:rFonts w:ascii="Cambria Math" w:hAnsi="Cambria Math"/>
                </w:rPr>
                <m:t>performance</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b</m:t>
              </m:r>
            </m:e>
            <m:sub>
              <m:r>
                <w:rPr>
                  <w:rFonts w:ascii="Cambria Math" w:hAnsi="Cambria Math"/>
                </w:rPr>
                <m:t>L</m:t>
              </m:r>
            </m:sub>
          </m:sSub>
          <m:sSub>
            <m:sSubPr>
              <m:ctrlPr>
                <w:rPr>
                  <w:rFonts w:ascii="Cambria Math" w:hAnsi="Cambria Math"/>
                  <w:i/>
                  <w:iCs/>
                </w:rPr>
              </m:ctrlPr>
            </m:sSubPr>
            <m:e>
              <m:r>
                <w:rPr>
                  <w:rFonts w:ascii="Cambria Math" w:hAnsi="Cambria Math"/>
                </w:rPr>
                <m:t>L</m:t>
              </m:r>
            </m:e>
            <m:sub>
              <m:r>
                <w:rPr>
                  <w:rFonts w:ascii="Cambria Math" w:hAnsi="Cambria Math"/>
                </w:rPr>
                <m:t>lengt</m:t>
              </m:r>
              <m:r>
                <w:rPr>
                  <w:rFonts w:ascii="Cambria Math" w:hAnsi="Cambria Math"/>
                </w:rPr>
                <m:t>h</m:t>
              </m:r>
            </m:sub>
          </m:sSub>
          <m:r>
            <m:rPr>
              <m:sty m:val="p"/>
            </m:rPr>
            <w:rPr>
              <w:rFonts w:ascii="Cambria Math" w:hAnsi="Cambria Math"/>
              <w:rtl/>
              <w:lang w:bidi="ar-AE"/>
            </w:rPr>
            <m:t>+</m:t>
          </m:r>
          <m:r>
            <m:rPr>
              <m:nor/>
            </m:rPr>
            <w:rPr>
              <w:i/>
              <w:iCs/>
              <w:rtl/>
              <w:lang w:bidi="ar-AE"/>
            </w:rPr>
            <m:t> </m:t>
          </m:r>
          <m:sSub>
            <m:sSubPr>
              <m:ctrlPr>
                <w:rPr>
                  <w:rFonts w:ascii="Cambria Math" w:hAnsi="Cambria Math"/>
                  <w:i/>
                  <w:iCs/>
                </w:rPr>
              </m:ctrlPr>
            </m:sSubPr>
            <m:e>
              <m:r>
                <w:rPr>
                  <w:rFonts w:ascii="Cambria Math" w:hAnsi="Cambria Math"/>
                </w:rPr>
                <m:t>b</m:t>
              </m:r>
            </m:e>
            <m:sub>
              <m:r>
                <w:rPr>
                  <w:rFonts w:ascii="Cambria Math" w:hAnsi="Cambria Math"/>
                </w:rPr>
                <m:t>B</m:t>
              </m:r>
            </m:sub>
          </m:sSub>
          <m:sSub>
            <m:sSubPr>
              <m:ctrlPr>
                <w:rPr>
                  <w:rFonts w:ascii="Cambria Math" w:hAnsi="Cambria Math"/>
                  <w:i/>
                  <w:iCs/>
                </w:rPr>
              </m:ctrlPr>
            </m:sSubPr>
            <m:e>
              <m:r>
                <w:rPr>
                  <w:rFonts w:ascii="Cambria Math" w:hAnsi="Cambria Math"/>
                </w:rPr>
                <m:t>B</m:t>
              </m:r>
            </m:e>
            <m:sub>
              <m:r>
                <w:rPr>
                  <w:rFonts w:ascii="Cambria Math" w:hAnsi="Cambria Math"/>
                </w:rPr>
                <m:t>solubility</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b</m:t>
              </m:r>
            </m:e>
            <m:sub>
              <m:r>
                <w:rPr>
                  <w:rFonts w:ascii="Cambria Math" w:hAnsi="Cambria Math"/>
                </w:rPr>
                <m:t>O</m:t>
              </m:r>
            </m:sub>
          </m:sSub>
          <m:sSub>
            <m:sSubPr>
              <m:ctrlPr>
                <w:rPr>
                  <w:rFonts w:ascii="Cambria Math" w:hAnsi="Cambria Math"/>
                  <w:i/>
                  <w:iCs/>
                </w:rPr>
              </m:ctrlPr>
            </m:sSubPr>
            <m:e>
              <m:r>
                <w:rPr>
                  <w:rFonts w:ascii="Cambria Math" w:hAnsi="Cambria Math"/>
                </w:rPr>
                <m:t>O</m:t>
              </m:r>
            </m:e>
            <m:sub>
              <m:r>
                <w:rPr>
                  <w:rFonts w:ascii="Cambria Math" w:hAnsi="Cambria Math"/>
                </w:rPr>
                <m:t>loaing</m:t>
              </m:r>
            </m:sub>
          </m:sSub>
        </m:oMath>
      </m:oMathPara>
    </w:p>
    <w:p w14:paraId="4A08C12E" w14:textId="16938F49" w:rsidR="00274547" w:rsidRDefault="00A3035B">
      <w:r>
        <w:t xml:space="preserve">Linker length is estimated from anchor-to-anchor separation and heavy-atom span; solubility is encoded using LogS together with a bounded LogP window; surface/loading uses ASA and PLD when available, with deterministic linker-level proxies otherwise. </w:t>
      </w:r>
      <w:r w:rsidR="00A6300F">
        <w:t>P</w:t>
      </w:r>
      <w:r>
        <w:t>ore accessibility and packing constraints remain fundamental</w:t>
      </w:r>
      <w:r w:rsidR="00A6300F">
        <w:t xml:space="preserve"> for biocompatibility applications as well</w:t>
      </w:r>
      <w:r>
        <w:t>.</w:t>
      </w:r>
    </w:p>
    <w:p w14:paraId="1C0C0391" w14:textId="77777777" w:rsidR="00D6048F" w:rsidRDefault="00A3035B">
      <w:r>
        <w:t xml:space="preserve">The </w:t>
      </w:r>
      <w:r w:rsidRPr="00E757BC">
        <w:rPr>
          <w:b/>
          <w:bCs/>
        </w:rPr>
        <w:t>benign-linker block</w:t>
      </w:r>
      <w:r>
        <w:t xml:space="preserve"> combines formal-charge moderation, a payload-interaction window (LogP and TPSA), and structural alert burden (PAINS/BRENK/NIH). </w:t>
      </w:r>
    </w:p>
    <w:p w14:paraId="40CB53B9" w14:textId="46B0E91A" w:rsidR="00D6048F" w:rsidRDefault="00A3035B" w:rsidP="00D6048F">
      <m:oMathPara>
        <m:oMath>
          <m:sSub>
            <m:sSubPr>
              <m:ctrlPr>
                <w:rPr>
                  <w:rFonts w:ascii="Cambria Math" w:hAnsi="Cambria Math"/>
                  <w:i/>
                  <w:iCs/>
                </w:rPr>
              </m:ctrlPr>
            </m:sSubPr>
            <m:e>
              <m:r>
                <w:rPr>
                  <w:rFonts w:ascii="Cambria Math" w:hAnsi="Cambria Math"/>
                </w:rPr>
                <m:t>B</m:t>
              </m:r>
            </m:e>
            <m:sub>
              <m:r>
                <w:rPr>
                  <w:rFonts w:ascii="Cambria Math" w:hAnsi="Cambria Math"/>
                </w:rPr>
                <m:t>benign</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c</m:t>
              </m:r>
            </m:e>
            <m:sub>
              <m:r>
                <w:rPr>
                  <w:rFonts w:ascii="Cambria Math" w:hAnsi="Cambria Math"/>
                </w:rPr>
                <m:t>Q</m:t>
              </m:r>
            </m:sub>
          </m:sSub>
          <m:sSub>
            <m:sSubPr>
              <m:ctrlPr>
                <w:rPr>
                  <w:rFonts w:ascii="Cambria Math" w:hAnsi="Cambria Math"/>
                  <w:i/>
                  <w:iCs/>
                </w:rPr>
              </m:ctrlPr>
            </m:sSubPr>
            <m:e>
              <m:r>
                <w:rPr>
                  <w:rFonts w:ascii="Cambria Math" w:hAnsi="Cambria Math"/>
                </w:rPr>
                <m:t>Q</m:t>
              </m:r>
            </m:e>
            <m:sub>
              <m:r>
                <w:rPr>
                  <w:rFonts w:ascii="Cambria Math" w:hAnsi="Cambria Math"/>
                </w:rPr>
                <m:t>c</m:t>
              </m:r>
              <m:r>
                <w:rPr>
                  <w:rFonts w:ascii="Cambria Math" w:hAnsi="Cambria Math"/>
                </w:rPr>
                <m:t>h</m:t>
              </m:r>
              <m:r>
                <w:rPr>
                  <w:rFonts w:ascii="Cambria Math" w:hAnsi="Cambria Math"/>
                </w:rPr>
                <m:t>arge</m:t>
              </m:r>
            </m:sub>
          </m:sSub>
          <m:r>
            <m:rPr>
              <m:sty m:val="p"/>
            </m:rPr>
            <w:rPr>
              <w:rFonts w:ascii="Cambria Math" w:hAnsi="Cambria Math"/>
              <w:rtl/>
              <w:lang w:bidi="ar-AE"/>
            </w:rPr>
            <m:t>+</m:t>
          </m:r>
          <m:r>
            <m:rPr>
              <m:nor/>
            </m:rPr>
            <w:rPr>
              <w:i/>
              <w:iCs/>
              <w:rtl/>
              <w:lang w:bidi="ar-AE"/>
            </w:rPr>
            <m:t> </m:t>
          </m:r>
          <m:sSub>
            <m:sSubPr>
              <m:ctrlPr>
                <w:rPr>
                  <w:rFonts w:ascii="Cambria Math" w:hAnsi="Cambria Math"/>
                  <w:i/>
                  <w:iCs/>
                </w:rPr>
              </m:ctrlPr>
            </m:sSubPr>
            <m:e>
              <m:r>
                <w:rPr>
                  <w:rFonts w:ascii="Cambria Math" w:hAnsi="Cambria Math"/>
                </w:rPr>
                <m:t>c</m:t>
              </m:r>
            </m:e>
            <m:sub>
              <m:r>
                <w:rPr>
                  <w:rFonts w:ascii="Cambria Math" w:hAnsi="Cambria Math"/>
                </w:rPr>
                <m:t>I</m:t>
              </m:r>
            </m:sub>
          </m:sSub>
          <m:sSub>
            <m:sSubPr>
              <m:ctrlPr>
                <w:rPr>
                  <w:rFonts w:ascii="Cambria Math" w:hAnsi="Cambria Math"/>
                  <w:i/>
                  <w:iCs/>
                </w:rPr>
              </m:ctrlPr>
            </m:sSubPr>
            <m:e>
              <m:r>
                <w:rPr>
                  <w:rFonts w:ascii="Cambria Math" w:hAnsi="Cambria Math"/>
                </w:rPr>
                <m:t>I</m:t>
              </m:r>
            </m:e>
            <m:sub>
              <m:r>
                <w:rPr>
                  <w:rFonts w:ascii="Cambria Math" w:hAnsi="Cambria Math"/>
                </w:rPr>
                <m:t>interaction</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c</m:t>
              </m:r>
            </m:e>
            <m:sub>
              <m:r>
                <w:rPr>
                  <w:rFonts w:ascii="Cambria Math" w:hAnsi="Cambria Math"/>
                </w:rPr>
                <m:t>B</m:t>
              </m:r>
            </m:sub>
          </m:sSub>
          <m:sSub>
            <m:sSubPr>
              <m:ctrlPr>
                <w:rPr>
                  <w:rFonts w:ascii="Cambria Math" w:hAnsi="Cambria Math"/>
                  <w:i/>
                  <w:iCs/>
                </w:rPr>
              </m:ctrlPr>
            </m:sSubPr>
            <m:e>
              <m:r>
                <w:rPr>
                  <w:rFonts w:ascii="Cambria Math" w:hAnsi="Cambria Math"/>
                </w:rPr>
                <m:t>B</m:t>
              </m:r>
            </m:e>
            <m:sub>
              <m:r>
                <w:rPr>
                  <w:rFonts w:ascii="Cambria Math" w:hAnsi="Cambria Math"/>
                </w:rPr>
                <m:t>burden</m:t>
              </m:r>
            </m:sub>
          </m:sSub>
        </m:oMath>
      </m:oMathPara>
    </w:p>
    <w:p w14:paraId="4CE7E30B" w14:textId="083D2340" w:rsidR="00274547" w:rsidRDefault="006C1CF1" w:rsidP="006C1CF1">
      <w:r>
        <w:t xml:space="preserve">The function should penalise excessively sticky or reactive linker environments that increase side-effects, off-target adsorption, or irreversible payload-framework interactions. We note also that </w:t>
      </w:r>
      <w:r>
        <w:lastRenderedPageBreak/>
        <w:t>charge contributes to both safety and benign terms by design: safety captures acute electrostatic risk while benign score captures the payload interaction fit.</w:t>
      </w:r>
    </w:p>
    <w:p w14:paraId="5544BBFE" w14:textId="34E2BA31" w:rsidR="006C1CF1" w:rsidRDefault="006C1CF1" w:rsidP="006C1CF1">
      <w:r>
        <w:t xml:space="preserve">Structural burden is estimating by calculating normalised count of reported warning matches for the fragments of the generated structure in either a) </w:t>
      </w:r>
      <w:r w:rsidRPr="006C1CF1">
        <w:t>PAINS (PanAsseyInteference)</w:t>
      </w:r>
      <w:r w:rsidR="00E757BC">
        <w:t xml:space="preserve"> b)</w:t>
      </w:r>
      <w:r w:rsidRPr="006C1CF1">
        <w:t xml:space="preserve"> BRENK (reactive, toxic, or unstable fragments)</w:t>
      </w:r>
      <w:r>
        <w:t xml:space="preserve"> or </w:t>
      </w:r>
      <w:r w:rsidR="00E757BC">
        <w:t xml:space="preserve">c) </w:t>
      </w:r>
      <w:r w:rsidRPr="006C1CF1">
        <w:t>NIH (problematic functional groups based on NIH medicinal chemistry guidelines).</w:t>
      </w:r>
    </w:p>
    <w:p w14:paraId="537EA3D3" w14:textId="3C5FB171" w:rsidR="00E757BC" w:rsidRDefault="00A3035B">
      <w:r>
        <w:t xml:space="preserve">The </w:t>
      </w:r>
      <w:r w:rsidRPr="00E757BC">
        <w:rPr>
          <w:b/>
          <w:bCs/>
        </w:rPr>
        <w:t>stability block</w:t>
      </w:r>
      <w:r>
        <w:t xml:space="preserve"> integrates metal stability, linker rigidity/symmetry, solubility-mediated dispersion behaviour, and charge-release stability.</w:t>
      </w:r>
    </w:p>
    <w:p w14:paraId="79AE1DF5" w14:textId="7BD827B9" w:rsidR="00E757BC" w:rsidRDefault="00A3035B">
      <m:oMathPara>
        <m:oMath>
          <m:sSub>
            <m:sSubPr>
              <m:ctrlPr>
                <w:rPr>
                  <w:rFonts w:ascii="Cambria Math" w:hAnsi="Cambria Math"/>
                  <w:i/>
                  <w:iCs/>
                </w:rPr>
              </m:ctrlPr>
            </m:sSubPr>
            <m:e>
              <m:r>
                <w:rPr>
                  <w:rFonts w:ascii="Cambria Math" w:hAnsi="Cambria Math"/>
                </w:rPr>
                <m:t>T</m:t>
              </m:r>
            </m:e>
            <m:sub>
              <m:r>
                <w:rPr>
                  <w:rFonts w:ascii="Cambria Math" w:hAnsi="Cambria Math"/>
                </w:rPr>
                <m:t>stability</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d</m:t>
              </m:r>
            </m:e>
            <m:sub>
              <m:r>
                <w:rPr>
                  <w:rFonts w:ascii="Cambria Math" w:hAnsi="Cambria Math"/>
                </w:rPr>
                <m:t>M</m:t>
              </m:r>
            </m:sub>
          </m:sSub>
          <m:sSub>
            <m:sSubPr>
              <m:ctrlPr>
                <w:rPr>
                  <w:rFonts w:ascii="Cambria Math" w:hAnsi="Cambria Math"/>
                  <w:i/>
                  <w:iCs/>
                </w:rPr>
              </m:ctrlPr>
            </m:sSubPr>
            <m:e>
              <m:r>
                <w:rPr>
                  <w:rFonts w:ascii="Cambria Math" w:hAnsi="Cambria Math"/>
                </w:rPr>
                <m:t>M</m:t>
              </m:r>
            </m:e>
            <m:sub>
              <m:r>
                <w:rPr>
                  <w:rFonts w:ascii="Cambria Math" w:hAnsi="Cambria Math"/>
                </w:rPr>
                <m:t>metal</m:t>
              </m:r>
              <m:r>
                <w:rPr>
                  <w:rFonts w:ascii="Cambria Math" w:hAnsi="Cambria Math"/>
                </w:rPr>
                <m:t>.</m:t>
              </m:r>
              <m:r>
                <w:rPr>
                  <w:rFonts w:ascii="Cambria Math" w:hAnsi="Cambria Math"/>
                </w:rPr>
                <m:t>stab</m:t>
              </m:r>
            </m:sub>
          </m:sSub>
          <m:r>
            <m:rPr>
              <m:sty m:val="p"/>
            </m:rPr>
            <w:rPr>
              <w:rFonts w:ascii="Cambria Math" w:hAnsi="Cambria Math"/>
              <w:rtl/>
              <w:lang w:bidi="ar-AE"/>
            </w:rPr>
            <m:t>+</m:t>
          </m:r>
          <m:r>
            <m:rPr>
              <m:nor/>
            </m:rPr>
            <w:rPr>
              <w:i/>
              <w:iCs/>
              <w:rtl/>
              <w:lang w:bidi="ar-AE"/>
            </w:rPr>
            <m:t> </m:t>
          </m:r>
          <m:sSub>
            <m:sSubPr>
              <m:ctrlPr>
                <w:rPr>
                  <w:rFonts w:ascii="Cambria Math" w:hAnsi="Cambria Math"/>
                  <w:i/>
                  <w:iCs/>
                </w:rPr>
              </m:ctrlPr>
            </m:sSubPr>
            <m:e>
              <m:r>
                <w:rPr>
                  <w:rFonts w:ascii="Cambria Math" w:hAnsi="Cambria Math"/>
                </w:rPr>
                <m:t>d</m:t>
              </m:r>
            </m:e>
            <m:sub>
              <m:r>
                <w:rPr>
                  <w:rFonts w:ascii="Cambria Math" w:hAnsi="Cambria Math"/>
                </w:rPr>
                <m:t>K</m:t>
              </m:r>
            </m:sub>
          </m:sSub>
          <m:sSub>
            <m:sSubPr>
              <m:ctrlPr>
                <w:rPr>
                  <w:rFonts w:ascii="Cambria Math" w:hAnsi="Cambria Math"/>
                  <w:i/>
                  <w:iCs/>
                </w:rPr>
              </m:ctrlPr>
            </m:sSubPr>
            <m:e>
              <m:r>
                <w:rPr>
                  <w:rFonts w:ascii="Cambria Math" w:hAnsi="Cambria Math"/>
                </w:rPr>
                <m:t>K</m:t>
              </m:r>
            </m:e>
            <m:sub>
              <m:r>
                <w:rPr>
                  <w:rFonts w:ascii="Cambria Math" w:hAnsi="Cambria Math"/>
                </w:rPr>
                <m:t>linker</m:t>
              </m:r>
              <m:r>
                <w:rPr>
                  <w:rFonts w:ascii="Cambria Math" w:hAnsi="Cambria Math"/>
                </w:rPr>
                <m:t>.</m:t>
              </m:r>
              <m:r>
                <w:rPr>
                  <w:rFonts w:ascii="Cambria Math" w:hAnsi="Cambria Math"/>
                </w:rPr>
                <m:t>stab</m:t>
              </m:r>
            </m:sub>
          </m:sSub>
          <m:r>
            <m:rPr>
              <m:sty m:val="p"/>
            </m:rPr>
            <w:rPr>
              <w:rFonts w:ascii="Cambria Math" w:hAnsi="Cambria Math"/>
              <w:rtl/>
              <w:lang w:bidi="ar-AE"/>
            </w:rPr>
            <m:t>+</m:t>
          </m:r>
          <m:sSub>
            <m:sSubPr>
              <m:ctrlPr>
                <w:rPr>
                  <w:rFonts w:ascii="Cambria Math" w:hAnsi="Cambria Math"/>
                  <w:i/>
                  <w:iCs/>
                </w:rPr>
              </m:ctrlPr>
            </m:sSubPr>
            <m:e>
              <m:r>
                <w:rPr>
                  <w:rFonts w:ascii="Cambria Math" w:hAnsi="Cambria Math"/>
                </w:rPr>
                <m:t>d</m:t>
              </m:r>
            </m:e>
            <m:sub>
              <m:r>
                <w:rPr>
                  <w:rFonts w:ascii="Cambria Math" w:hAnsi="Cambria Math"/>
                </w:rPr>
                <m:t>S</m:t>
              </m:r>
            </m:sub>
          </m:sSub>
          <m:sSub>
            <m:sSubPr>
              <m:ctrlPr>
                <w:rPr>
                  <w:rFonts w:ascii="Cambria Math" w:hAnsi="Cambria Math"/>
                  <w:i/>
                  <w:iCs/>
                </w:rPr>
              </m:ctrlPr>
            </m:sSubPr>
            <m:e>
              <m:r>
                <w:rPr>
                  <w:rFonts w:ascii="Cambria Math" w:hAnsi="Cambria Math"/>
                </w:rPr>
                <m:t>S</m:t>
              </m:r>
            </m:e>
            <m:sub>
              <m:r>
                <w:rPr>
                  <w:rFonts w:ascii="Cambria Math" w:hAnsi="Cambria Math"/>
                </w:rPr>
                <m:t>solubility</m:t>
              </m:r>
            </m:sub>
          </m:sSub>
          <m:r>
            <w:rPr>
              <w:rFonts w:ascii="Cambria Math" w:hAnsi="Cambria Math"/>
            </w:rPr>
            <m:t>+</m:t>
          </m:r>
          <m:sSub>
            <m:sSubPr>
              <m:ctrlPr>
                <w:rPr>
                  <w:rFonts w:ascii="Cambria Math" w:hAnsi="Cambria Math"/>
                  <w:i/>
                  <w:iCs/>
                </w:rPr>
              </m:ctrlPr>
            </m:sSubPr>
            <m:e>
              <m:r>
                <w:rPr>
                  <w:rFonts w:ascii="Cambria Math" w:hAnsi="Cambria Math"/>
                </w:rPr>
                <m:t>d</m:t>
              </m:r>
            </m:e>
            <m:sub>
              <m:r>
                <w:rPr>
                  <w:rFonts w:ascii="Cambria Math" w:hAnsi="Cambria Math"/>
                </w:rPr>
                <m:t>R</m:t>
              </m:r>
            </m:sub>
          </m:sSub>
          <m:sSub>
            <m:sSubPr>
              <m:ctrlPr>
                <w:rPr>
                  <w:rFonts w:ascii="Cambria Math" w:hAnsi="Cambria Math"/>
                  <w:i/>
                  <w:iCs/>
                </w:rPr>
              </m:ctrlPr>
            </m:sSubPr>
            <m:e>
              <m:r>
                <w:rPr>
                  <w:rFonts w:ascii="Cambria Math" w:hAnsi="Cambria Math"/>
                </w:rPr>
                <m:t>R</m:t>
              </m:r>
            </m:e>
            <m:sub>
              <m:r>
                <w:rPr>
                  <w:rFonts w:ascii="Cambria Math" w:hAnsi="Cambria Math"/>
                </w:rPr>
                <m:t>release</m:t>
              </m:r>
            </m:sub>
          </m:sSub>
        </m:oMath>
      </m:oMathPara>
    </w:p>
    <w:p w14:paraId="6F2A1E87" w14:textId="20B6BAD1" w:rsidR="00E757BC" w:rsidRDefault="00E757BC">
      <w:r>
        <w:t>Solubility is also recognised as important predictor of desirable bioavailable MOF delivery nanoparticles</w:t>
      </w:r>
      <w:r w:rsidR="004230EF">
        <w:t xml:space="preserve">. Metal stability and safety are obtained for the curated dataset in Menon (2024), while the stability of the linker is determined based on rigidity and symmetry </w:t>
      </w:r>
      <w:r w:rsidR="007A51A1">
        <w:t>similar to the reward function for gas storage in F1 above.</w:t>
      </w:r>
    </w:p>
    <w:p w14:paraId="76FDF4F5" w14:textId="2E78E65C" w:rsidR="00274547" w:rsidRDefault="00A3035B">
      <w:r>
        <w:t>Together, these terms bias toward candidates that support controlled exposure rather than abrupt release or rapid framework deterioration.</w:t>
      </w:r>
    </w:p>
    <w:p w14:paraId="3FFB1307" w14:textId="1CC4A8E1" w:rsidR="000E55CA" w:rsidRDefault="00863F8D">
      <w:r w:rsidRPr="00863F8D">
        <w:drawing>
          <wp:inline distT="0" distB="0" distL="0" distR="0" wp14:anchorId="3F8F93F5" wp14:editId="6E2AB155">
            <wp:extent cx="5943600" cy="3803650"/>
            <wp:effectExtent l="0" t="0" r="0" b="6350"/>
            <wp:docPr id="150563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38172" name=""/>
                    <pic:cNvPicPr/>
                  </pic:nvPicPr>
                  <pic:blipFill>
                    <a:blip r:embed="rId12"/>
                    <a:stretch>
                      <a:fillRect/>
                    </a:stretch>
                  </pic:blipFill>
                  <pic:spPr>
                    <a:xfrm>
                      <a:off x="0" y="0"/>
                      <a:ext cx="5943600" cy="3803650"/>
                    </a:xfrm>
                    <a:prstGeom prst="rect">
                      <a:avLst/>
                    </a:prstGeom>
                  </pic:spPr>
                </pic:pic>
              </a:graphicData>
            </a:graphic>
          </wp:inline>
        </w:drawing>
      </w:r>
    </w:p>
    <w:p w14:paraId="0B95693B" w14:textId="6B0609B8" w:rsidR="000E55CA" w:rsidRDefault="00C163A9" w:rsidP="0059293B">
      <w:r>
        <w:t>Figure F</w:t>
      </w:r>
      <w:r w:rsidR="00863F8D">
        <w:t>9</w:t>
      </w:r>
      <w:r>
        <w:t xml:space="preserve"> is showing the distribution of component scores</w:t>
      </w:r>
      <w:r w:rsidR="0059293B">
        <w:t>, reporting means Safety: 0.</w:t>
      </w:r>
      <w:r w:rsidR="00353BAD">
        <w:t>553</w:t>
      </w:r>
      <w:r w:rsidR="0059293B">
        <w:t>, Performance: 0.3</w:t>
      </w:r>
      <w:r w:rsidR="00353BAD">
        <w:t>1</w:t>
      </w:r>
      <w:r w:rsidR="0059293B">
        <w:t>9, Benign linkers: 0.6</w:t>
      </w:r>
      <w:r w:rsidR="00353BAD">
        <w:t>40</w:t>
      </w:r>
      <w:r w:rsidR="0059293B">
        <w:t xml:space="preserve"> and Stability: 0.66</w:t>
      </w:r>
      <w:r w:rsidR="00353BAD">
        <w:t>4</w:t>
      </w:r>
      <w:r w:rsidR="0059293B">
        <w:t>.</w:t>
      </w:r>
    </w:p>
    <w:p w14:paraId="07AB64A7" w14:textId="583D4B3E" w:rsidR="00274547" w:rsidRDefault="00A3035B">
      <w:r>
        <w:lastRenderedPageBreak/>
        <w:t xml:space="preserve">During method development, </w:t>
      </w:r>
      <w:r w:rsidRPr="000E55CA">
        <w:rPr>
          <w:b/>
          <w:bCs/>
        </w:rPr>
        <w:t>Bayesian optimisation</w:t>
      </w:r>
      <w:r>
        <w:t xml:space="preserve"> was used to tune component and subcomponent weights under constrained </w:t>
      </w:r>
      <w:r w:rsidR="00664428">
        <w:t>known validation linker samples</w:t>
      </w:r>
      <w:r>
        <w:t>. The design objective combined toxicity-aware ranking constraints (to suppress high scores in severe toxicity classes), smooth score spread across viable chemotypes, and robustness across repeated sampled subsets. Final production weights were selected from the stable region identified across these runs and then fixed to preserve deterministic scorin</w:t>
      </w:r>
      <w:r w:rsidR="00352E98">
        <w:t>g as w</w:t>
      </w:r>
      <w:r w:rsidR="00352E98">
        <w:rPr>
          <w:vertAlign w:val="subscript"/>
        </w:rPr>
        <w:t>S</w:t>
      </w:r>
      <w:r w:rsidR="00352E98" w:rsidRPr="00352E98">
        <w:t>=0.15, w</w:t>
      </w:r>
      <w:r w:rsidR="00352E98">
        <w:rPr>
          <w:vertAlign w:val="subscript"/>
        </w:rPr>
        <w:t>P</w:t>
      </w:r>
      <w:r w:rsidR="00352E98" w:rsidRPr="00352E98">
        <w:t>=0.55, w</w:t>
      </w:r>
      <w:r w:rsidR="00352E98">
        <w:rPr>
          <w:vertAlign w:val="subscript"/>
        </w:rPr>
        <w:t>B</w:t>
      </w:r>
      <w:r w:rsidR="00352E98" w:rsidRPr="00352E98">
        <w:t>=0.15</w:t>
      </w:r>
      <w:r w:rsidR="00352E98">
        <w:t xml:space="preserve"> and </w:t>
      </w:r>
      <w:r w:rsidR="00352E98" w:rsidRPr="00352E98">
        <w:t>w</w:t>
      </w:r>
      <w:r w:rsidR="00352E98" w:rsidRPr="00352E98">
        <w:rPr>
          <w:vertAlign w:val="subscript"/>
        </w:rPr>
        <w:t>T</w:t>
      </w:r>
      <w:r w:rsidR="00352E98" w:rsidRPr="00352E98">
        <w:t>=0.15</w:t>
      </w:r>
      <w:r w:rsidR="00352E98">
        <w:t>.</w:t>
      </w:r>
    </w:p>
    <w:p w14:paraId="554101B4" w14:textId="77777777" w:rsidR="00274547" w:rsidRDefault="00A3035B">
      <w:r>
        <w:t>Figure F7 shows the score landscape over the generated linker set, including the total score and component-level distributions. The distributions remain broad and non-saturated, indicating that the reward retains ranking resolution rather than collapsing near hard bounds.</w:t>
      </w:r>
    </w:p>
    <w:p w14:paraId="124C4F14" w14:textId="01E767A6" w:rsidR="00274547" w:rsidRDefault="00834F92" w:rsidP="00834F92">
      <w:r w:rsidRPr="0059293B">
        <w:rPr>
          <w:b/>
          <w:bCs/>
        </w:rPr>
        <w:t>Known-linker validation</w:t>
      </w:r>
      <w:r w:rsidRPr="00834F92">
        <w:t xml:space="preserve"> was performed on the 171 unique linkers </w:t>
      </w:r>
      <w:r>
        <w:t>obtained from</w:t>
      </w:r>
      <w:r w:rsidR="0031478D">
        <w:t xml:space="preserve"> Yao (2021)</w:t>
      </w:r>
      <w:r>
        <w:t>. This dataset was explicitly not included by the training set. Validation against known linkers from the training MOF set is summarized in Figure F8. High-scoring linkers show a consistent increase in performance and benign-linker terms, while safety remains comparatively stable in linker-only mode.</w:t>
      </w:r>
    </w:p>
    <w:p w14:paraId="785C671E" w14:textId="7B8E43F5" w:rsidR="00834F92" w:rsidRPr="00834F92" w:rsidRDefault="00863F8D" w:rsidP="00834F92">
      <w:pPr>
        <w:rPr>
          <w:b/>
          <w:bCs/>
        </w:rPr>
      </w:pPr>
      <w:r w:rsidRPr="00863F8D">
        <w:rPr>
          <w:b/>
          <w:bCs/>
        </w:rPr>
        <w:drawing>
          <wp:inline distT="0" distB="0" distL="0" distR="0" wp14:anchorId="1BD20F8F" wp14:editId="1C1993C2">
            <wp:extent cx="5943600" cy="3184525"/>
            <wp:effectExtent l="0" t="0" r="0" b="0"/>
            <wp:docPr id="74460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02026" name=""/>
                    <pic:cNvPicPr/>
                  </pic:nvPicPr>
                  <pic:blipFill>
                    <a:blip r:embed="rId13"/>
                    <a:stretch>
                      <a:fillRect/>
                    </a:stretch>
                  </pic:blipFill>
                  <pic:spPr>
                    <a:xfrm>
                      <a:off x="0" y="0"/>
                      <a:ext cx="5943600" cy="3184525"/>
                    </a:xfrm>
                    <a:prstGeom prst="rect">
                      <a:avLst/>
                    </a:prstGeom>
                  </pic:spPr>
                </pic:pic>
              </a:graphicData>
            </a:graphic>
          </wp:inline>
        </w:drawing>
      </w:r>
    </w:p>
    <w:p w14:paraId="148268AB" w14:textId="1378020D" w:rsidR="00274547" w:rsidRDefault="00A3035B">
      <w:r>
        <w:t>Figure F</w:t>
      </w:r>
      <w:r w:rsidR="00863F8D">
        <w:t>10</w:t>
      </w:r>
      <w:r>
        <w:t>. Known-linker validation: component contrast between top and bottom deciles of scored linkers.</w:t>
      </w:r>
      <w:r w:rsidR="00353BAD">
        <w:t xml:space="preserve"> </w:t>
      </w:r>
      <w:r w:rsidR="00353BAD">
        <w:t>Mean total score was 0.547 for top decile comparing to bottom decile 0.352</w:t>
      </w:r>
      <w:r w:rsidR="00353BAD">
        <w:t xml:space="preserve">, </w:t>
      </w:r>
      <w:r w:rsidR="00353BAD" w:rsidRPr="00353BAD">
        <w:t>indicating strong ranking separation.</w:t>
      </w:r>
      <w:r w:rsidR="00353BAD">
        <w:t xml:space="preserve"> Largest component gap was observed in performance term (0.389 vs 0.141), followed by benign linkers term (0.776 vs 0.510)</w:t>
      </w:r>
      <w:r w:rsidR="00353BAD">
        <w:t>.</w:t>
      </w:r>
    </w:p>
    <w:p w14:paraId="606FE038" w14:textId="76CE7A66" w:rsidR="00274547" w:rsidRDefault="00A3035B">
      <w:r w:rsidRPr="007A51A1">
        <w:rPr>
          <w:b/>
          <w:bCs/>
        </w:rPr>
        <w:t>Generalization limits</w:t>
      </w:r>
      <w:r>
        <w:t xml:space="preserve">. This reward is intentionally lightweight and linker-centric; it does not fully capture assembled-framework topology, explicit host-guest energetics, or payload-specific transport physics. Accuracy can be increased when the reward is </w:t>
      </w:r>
      <w:r w:rsidR="007A51A1">
        <w:t xml:space="preserve">customised </w:t>
      </w:r>
      <w:r>
        <w:t xml:space="preserve">to </w:t>
      </w:r>
      <w:r w:rsidR="007A51A1">
        <w:t xml:space="preserve">a selected </w:t>
      </w:r>
      <w:r>
        <w:t>payload</w:t>
      </w:r>
      <w:r w:rsidR="007A51A1">
        <w:t xml:space="preserve"> molecule</w:t>
      </w:r>
      <w:r>
        <w:t>.</w:t>
      </w:r>
    </w:p>
    <w:p w14:paraId="3EF9A035" w14:textId="0B85A773" w:rsidR="00274547" w:rsidRDefault="00A3035B">
      <w:r>
        <w:lastRenderedPageBreak/>
        <w:t xml:space="preserve">For payload-specific calibration, geometric accessibility should </w:t>
      </w:r>
      <w:r w:rsidR="007A51A1">
        <w:t>correlate to pore volume (</w:t>
      </w:r>
      <w:r>
        <w:t>PLD</w:t>
      </w:r>
      <w:r w:rsidR="007A51A1">
        <w:t xml:space="preserve"> and </w:t>
      </w:r>
      <w:r>
        <w:t>LCD</w:t>
      </w:r>
      <w:r w:rsidR="002569C4">
        <w:t>)</w:t>
      </w:r>
      <w:r>
        <w:t>, ASA, and pore-size distribution relative to payload kinetic diameter</w:t>
      </w:r>
      <w:r w:rsidR="0031478D">
        <w:t xml:space="preserve"> (</w:t>
      </w:r>
      <w:r w:rsidR="0031478D" w:rsidRPr="00C163A9">
        <w:t xml:space="preserve">Pétuya </w:t>
      </w:r>
      <w:r w:rsidR="0031478D" w:rsidRPr="00834F92">
        <w:t>(202</w:t>
      </w:r>
      <w:r w:rsidR="0031478D">
        <w:t>2</w:t>
      </w:r>
      <w:r w:rsidR="0031478D" w:rsidRPr="00834F92">
        <w:t>)</w:t>
      </w:r>
      <w:r w:rsidR="0031478D">
        <w:t>)</w:t>
      </w:r>
      <w:r>
        <w:t xml:space="preserve">. </w:t>
      </w:r>
      <w:r w:rsidR="002569C4">
        <w:t>L</w:t>
      </w:r>
      <w:r>
        <w:t xml:space="preserve">oading affinity should incorporate adsorption free energy, electrostatic complementarity, hydrogen-bond donor/acceptor matching, and local polarity around anchoring motifs. </w:t>
      </w:r>
      <w:r w:rsidR="002569C4">
        <w:t>Payload calibration could also include l</w:t>
      </w:r>
      <w:r>
        <w:t>eakage control should include diffusion barrier proxies, release half-life targets, and burst-release penalties under physiological pH conditions.</w:t>
      </w:r>
    </w:p>
    <w:p w14:paraId="026B7FFF" w14:textId="328C617F" w:rsidR="00274547" w:rsidRDefault="00863F8D">
      <w:r w:rsidRPr="00863F8D">
        <w:drawing>
          <wp:inline distT="0" distB="0" distL="0" distR="0" wp14:anchorId="4E8503B4" wp14:editId="67DE1894">
            <wp:extent cx="5943600" cy="4218940"/>
            <wp:effectExtent l="0" t="0" r="0" b="0"/>
            <wp:docPr id="390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7279" name=""/>
                    <pic:cNvPicPr/>
                  </pic:nvPicPr>
                  <pic:blipFill>
                    <a:blip r:embed="rId14"/>
                    <a:stretch>
                      <a:fillRect/>
                    </a:stretch>
                  </pic:blipFill>
                  <pic:spPr>
                    <a:xfrm>
                      <a:off x="0" y="0"/>
                      <a:ext cx="5943600" cy="4218940"/>
                    </a:xfrm>
                    <a:prstGeom prst="rect">
                      <a:avLst/>
                    </a:prstGeom>
                  </pic:spPr>
                </pic:pic>
              </a:graphicData>
            </a:graphic>
          </wp:inline>
        </w:drawing>
      </w:r>
    </w:p>
    <w:p w14:paraId="711A1307" w14:textId="1A6767CC" w:rsidR="00274547" w:rsidRDefault="00A3035B">
      <w:r>
        <w:t>Figure F1</w:t>
      </w:r>
      <w:r w:rsidR="00863F8D">
        <w:t>1</w:t>
      </w:r>
      <w:r>
        <w:t xml:space="preserve"> illustrates the current score landscape in LogP-TPSA space and highlights why payload-dependent windowing is necessary: </w:t>
      </w:r>
      <w:r w:rsidR="008455F9">
        <w:t>t</w:t>
      </w:r>
      <w:r w:rsidR="008455F9">
        <w:t>he median point of the landscape is LogP = 1.986, TPSA = 58.81, with median total score 0.511, which aligns with a balanced polarity-hydrophobicity regime.</w:t>
      </w:r>
      <w:r w:rsidR="008455F9">
        <w:t xml:space="preserve"> The scores </w:t>
      </w:r>
      <w:r w:rsidR="008455F9">
        <w:t>show a negative monotonic trend with LogP, indicating hydrophobic excess is generally penalized in this reward setup</w:t>
      </w:r>
      <w:r w:rsidR="008455F9">
        <w:t xml:space="preserve"> and a </w:t>
      </w:r>
      <w:r w:rsidR="008455F9">
        <w:t>positive monotonic trend with TPSA, suggesting polarity-sensitive terms are highly influential.</w:t>
      </w:r>
    </w:p>
    <w:p w14:paraId="66A171EA" w14:textId="4FCDB54A" w:rsidR="0059293B" w:rsidRDefault="0059293B">
      <w:r>
        <w:br w:type="page"/>
      </w:r>
    </w:p>
    <w:p w14:paraId="1B6F0F61" w14:textId="37DDF27D" w:rsidR="00C163A9" w:rsidRDefault="00C163A9">
      <w:r w:rsidRPr="00C163A9">
        <w:rPr>
          <w:b/>
          <w:bCs/>
        </w:rPr>
        <w:lastRenderedPageBreak/>
        <w:t>References</w:t>
      </w:r>
      <w:r>
        <w:t>:</w:t>
      </w:r>
    </w:p>
    <w:p w14:paraId="0300F31E" w14:textId="77777777" w:rsidR="0031478D" w:rsidRPr="0031478D" w:rsidRDefault="0031478D" w:rsidP="0031478D">
      <w:r w:rsidRPr="0031478D">
        <w:t xml:space="preserve">Yao, Z. </w:t>
      </w:r>
      <w:r w:rsidRPr="0031478D">
        <w:rPr>
          <w:i/>
          <w:iCs/>
        </w:rPr>
        <w:t>et al.</w:t>
      </w:r>
      <w:r w:rsidRPr="0031478D">
        <w:t xml:space="preserve"> (2021) ‘Inverse design of nanoporous crystalline reticular materials with deep generative models’, </w:t>
      </w:r>
      <w:r w:rsidRPr="0031478D">
        <w:rPr>
          <w:i/>
          <w:iCs/>
        </w:rPr>
        <w:t>Nature Machine Intelligence</w:t>
      </w:r>
      <w:r w:rsidRPr="0031478D">
        <w:t xml:space="preserve">, 3(1), pp. 76–86. doi:10.1038/s42256-020-00271-1. </w:t>
      </w:r>
    </w:p>
    <w:p w14:paraId="2F455E05" w14:textId="2175AD96" w:rsidR="0059293B" w:rsidRDefault="0059293B" w:rsidP="00C163A9">
      <w:r w:rsidRPr="0059293B">
        <w:t>Wu, L. et al. (2022) ‘Toxric: A comprehensive database of toxicological data and benchmarks’, Nucleic Acids Research, 51(D1). doi:10.1093/nar/gkac1074.</w:t>
      </w:r>
    </w:p>
    <w:p w14:paraId="4CD9C2B7" w14:textId="4FC7639D" w:rsidR="00C163A9" w:rsidRPr="00C163A9" w:rsidRDefault="00C163A9" w:rsidP="00C163A9">
      <w:r w:rsidRPr="00C163A9">
        <w:t xml:space="preserve">Pétuya, R. </w:t>
      </w:r>
      <w:r w:rsidRPr="00C163A9">
        <w:rPr>
          <w:i/>
          <w:iCs/>
        </w:rPr>
        <w:t>et al.</w:t>
      </w:r>
      <w:r w:rsidRPr="00C163A9">
        <w:t xml:space="preserve"> (2022) ‘Machine</w:t>
      </w:r>
      <w:r w:rsidRPr="00C163A9">
        <w:rPr>
          <w:rFonts w:ascii="Cambria Math" w:hAnsi="Cambria Math" w:cs="Cambria Math"/>
        </w:rPr>
        <w:t>‐</w:t>
      </w:r>
      <w:r w:rsidRPr="00C163A9">
        <w:t>learning prediction of metal</w:t>
      </w:r>
      <w:r w:rsidRPr="00C163A9">
        <w:rPr>
          <w:rFonts w:ascii="Aptos" w:hAnsi="Aptos" w:cs="Aptos"/>
        </w:rPr>
        <w:t>–</w:t>
      </w:r>
      <w:r w:rsidRPr="00C163A9">
        <w:t>organic framework guest accessibility from linker and metal chemistry</w:t>
      </w:r>
      <w:r w:rsidRPr="00C163A9">
        <w:rPr>
          <w:rFonts w:ascii="Aptos" w:hAnsi="Aptos" w:cs="Aptos"/>
        </w:rPr>
        <w:t>’</w:t>
      </w:r>
      <w:r w:rsidRPr="00C163A9">
        <w:t xml:space="preserve">, </w:t>
      </w:r>
      <w:r w:rsidRPr="00C163A9">
        <w:rPr>
          <w:i/>
          <w:iCs/>
        </w:rPr>
        <w:t>Angewandte Chemie International Edition</w:t>
      </w:r>
      <w:r w:rsidRPr="00C163A9">
        <w:t xml:space="preserve">, 61(9). doi:10.1002/anie.202114573. </w:t>
      </w:r>
    </w:p>
    <w:p w14:paraId="6AC60100" w14:textId="54BDE92E" w:rsidR="00C163A9" w:rsidRDefault="00C163A9">
      <w:r w:rsidRPr="00C163A9">
        <w:t>Menon, D. and Fairen-Jimenez, D. (2025) ‘Guiding the rational design of biocompatible metal-organic frameworks for Drug Delivery’, Matter, 8(3), p. 101958. doi:10.1016/j.matt.2025.101958.</w:t>
      </w:r>
    </w:p>
    <w:sectPr w:rsidR="00C163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tinus Sans">
    <w:altName w:val="Calibri"/>
    <w:panose1 w:val="00000000000000000000"/>
    <w:charset w:val="00"/>
    <w:family w:val="auto"/>
    <w:notTrueType/>
    <w:pitch w:val="variable"/>
    <w:sig w:usb0="E0000AFF" w:usb1="0200E5FB" w:usb2="01000020" w:usb3="00000000" w:csb0="000001B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333"/>
    <w:rsid w:val="000121BE"/>
    <w:rsid w:val="00037A16"/>
    <w:rsid w:val="000E55CA"/>
    <w:rsid w:val="000F0A6D"/>
    <w:rsid w:val="001033CF"/>
    <w:rsid w:val="001323BD"/>
    <w:rsid w:val="001A3333"/>
    <w:rsid w:val="002569C4"/>
    <w:rsid w:val="00274547"/>
    <w:rsid w:val="002B7E5D"/>
    <w:rsid w:val="002F5083"/>
    <w:rsid w:val="0031478D"/>
    <w:rsid w:val="00352E98"/>
    <w:rsid w:val="00353BAD"/>
    <w:rsid w:val="00376C09"/>
    <w:rsid w:val="003A527F"/>
    <w:rsid w:val="00401BE3"/>
    <w:rsid w:val="004230EF"/>
    <w:rsid w:val="00443718"/>
    <w:rsid w:val="00490391"/>
    <w:rsid w:val="00495AF1"/>
    <w:rsid w:val="004C045E"/>
    <w:rsid w:val="0059293B"/>
    <w:rsid w:val="006459E6"/>
    <w:rsid w:val="00664428"/>
    <w:rsid w:val="006665C2"/>
    <w:rsid w:val="0067318C"/>
    <w:rsid w:val="006C1CF1"/>
    <w:rsid w:val="006F3F57"/>
    <w:rsid w:val="007460C4"/>
    <w:rsid w:val="007829D9"/>
    <w:rsid w:val="00786177"/>
    <w:rsid w:val="007A51A1"/>
    <w:rsid w:val="007E2568"/>
    <w:rsid w:val="00804715"/>
    <w:rsid w:val="00824AD4"/>
    <w:rsid w:val="00834F92"/>
    <w:rsid w:val="008455F9"/>
    <w:rsid w:val="00863F8D"/>
    <w:rsid w:val="00894600"/>
    <w:rsid w:val="00895589"/>
    <w:rsid w:val="00900F6D"/>
    <w:rsid w:val="00924F61"/>
    <w:rsid w:val="009A3003"/>
    <w:rsid w:val="00A6300F"/>
    <w:rsid w:val="00A97167"/>
    <w:rsid w:val="00AA7043"/>
    <w:rsid w:val="00AF5475"/>
    <w:rsid w:val="00B32BB9"/>
    <w:rsid w:val="00B75F60"/>
    <w:rsid w:val="00BC50B0"/>
    <w:rsid w:val="00BF4A32"/>
    <w:rsid w:val="00C163A9"/>
    <w:rsid w:val="00C563BB"/>
    <w:rsid w:val="00CC1839"/>
    <w:rsid w:val="00CD07F9"/>
    <w:rsid w:val="00D05BFF"/>
    <w:rsid w:val="00D26196"/>
    <w:rsid w:val="00D3587F"/>
    <w:rsid w:val="00D6048F"/>
    <w:rsid w:val="00DD5490"/>
    <w:rsid w:val="00DF2F3B"/>
    <w:rsid w:val="00E36207"/>
    <w:rsid w:val="00E50172"/>
    <w:rsid w:val="00E65C01"/>
    <w:rsid w:val="00E757BC"/>
    <w:rsid w:val="00E9375D"/>
    <w:rsid w:val="00EC1EED"/>
    <w:rsid w:val="00EF6572"/>
    <w:rsid w:val="00FE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3E26"/>
  <w15:chartTrackingRefBased/>
  <w15:docId w15:val="{19AD96AE-C410-9E4A-B902-F95ACB3AB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48F"/>
    <w:rPr>
      <w:sz w:val="22"/>
      <w:lang w:val="en-GB"/>
    </w:rPr>
  </w:style>
  <w:style w:type="paragraph" w:styleId="Heading1">
    <w:name w:val="heading 1"/>
    <w:basedOn w:val="Normal"/>
    <w:next w:val="Normal"/>
    <w:link w:val="Heading1Char"/>
    <w:uiPriority w:val="9"/>
    <w:qFormat/>
    <w:rsid w:val="001A3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33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A333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A333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A333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A333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A333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A333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A333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A333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A3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33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A3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33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A3333"/>
    <w:pPr>
      <w:spacing w:before="160"/>
      <w:jc w:val="center"/>
    </w:pPr>
    <w:rPr>
      <w:i/>
      <w:iCs/>
      <w:color w:val="404040" w:themeColor="text1" w:themeTint="BF"/>
    </w:rPr>
  </w:style>
  <w:style w:type="character" w:customStyle="1" w:styleId="QuoteChar">
    <w:name w:val="Quote Char"/>
    <w:basedOn w:val="DefaultParagraphFont"/>
    <w:link w:val="Quote"/>
    <w:uiPriority w:val="29"/>
    <w:rsid w:val="001A3333"/>
    <w:rPr>
      <w:i/>
      <w:iCs/>
      <w:color w:val="404040" w:themeColor="text1" w:themeTint="BF"/>
      <w:lang w:val="en-GB"/>
    </w:rPr>
  </w:style>
  <w:style w:type="paragraph" w:styleId="ListParagraph">
    <w:name w:val="List Paragraph"/>
    <w:basedOn w:val="Normal"/>
    <w:uiPriority w:val="34"/>
    <w:qFormat/>
    <w:rsid w:val="001A3333"/>
    <w:pPr>
      <w:ind w:left="720"/>
      <w:contextualSpacing/>
    </w:pPr>
  </w:style>
  <w:style w:type="character" w:styleId="IntenseEmphasis">
    <w:name w:val="Intense Emphasis"/>
    <w:basedOn w:val="DefaultParagraphFont"/>
    <w:uiPriority w:val="21"/>
    <w:qFormat/>
    <w:rsid w:val="001A3333"/>
    <w:rPr>
      <w:i/>
      <w:iCs/>
      <w:color w:val="0F4761" w:themeColor="accent1" w:themeShade="BF"/>
    </w:rPr>
  </w:style>
  <w:style w:type="paragraph" w:styleId="IntenseQuote">
    <w:name w:val="Intense Quote"/>
    <w:basedOn w:val="Normal"/>
    <w:next w:val="Normal"/>
    <w:link w:val="IntenseQuoteChar"/>
    <w:uiPriority w:val="30"/>
    <w:qFormat/>
    <w:rsid w:val="001A3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333"/>
    <w:rPr>
      <w:i/>
      <w:iCs/>
      <w:color w:val="0F4761" w:themeColor="accent1" w:themeShade="BF"/>
      <w:lang w:val="en-GB"/>
    </w:rPr>
  </w:style>
  <w:style w:type="character" w:styleId="IntenseReference">
    <w:name w:val="Intense Reference"/>
    <w:basedOn w:val="DefaultParagraphFont"/>
    <w:uiPriority w:val="32"/>
    <w:qFormat/>
    <w:rsid w:val="001A3333"/>
    <w:rPr>
      <w:b/>
      <w:bCs/>
      <w:smallCaps/>
      <w:color w:val="0F4761" w:themeColor="accent1" w:themeShade="BF"/>
      <w:spacing w:val="5"/>
    </w:rPr>
  </w:style>
  <w:style w:type="paragraph" w:styleId="Caption">
    <w:name w:val="caption"/>
    <w:basedOn w:val="Normal"/>
    <w:next w:val="Normal"/>
    <w:uiPriority w:val="35"/>
    <w:unhideWhenUsed/>
    <w:qFormat/>
    <w:rsid w:val="001A33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customXml" Target="../customXml/item3.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E876ED0DE60C4CB0F934551C561DC5" ma:contentTypeVersion="16" ma:contentTypeDescription="Create a new document." ma:contentTypeScope="" ma:versionID="3c261a7d4d5fe4788be1f6c6d0e28108">
  <xsd:schema xmlns:xsd="http://www.w3.org/2001/XMLSchema" xmlns:xs="http://www.w3.org/2001/XMLSchema" xmlns:p="http://schemas.microsoft.com/office/2006/metadata/properties" xmlns:ns2="576b9601-f52d-412d-8173-458f12a9e749" xmlns:ns3="a9bb57cf-d72c-4d05-aef4-c0ef40bf85b7" targetNamespace="http://schemas.microsoft.com/office/2006/metadata/properties" ma:root="true" ma:fieldsID="6ea934ad913a5217af4ce01796f35158" ns2:_="" ns3:_="">
    <xsd:import namespace="576b9601-f52d-412d-8173-458f12a9e749"/>
    <xsd:import namespace="a9bb57cf-d72c-4d05-aef4-c0ef40bf85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6b9601-f52d-412d-8173-458f12a9e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bb57cf-d72c-4d05-aef4-c0ef40bf85b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0e2a4ed-e278-4732-a40f-0205e3997acf}" ma:internalName="TaxCatchAll" ma:showField="CatchAllData" ma:web="a9bb57cf-d72c-4d05-aef4-c0ef40bf85b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6b9601-f52d-412d-8173-458f12a9e749">
      <Terms xmlns="http://schemas.microsoft.com/office/infopath/2007/PartnerControls"/>
    </lcf76f155ced4ddcb4097134ff3c332f>
    <TaxCatchAll xmlns="a9bb57cf-d72c-4d05-aef4-c0ef40bf85b7" xsi:nil="true"/>
  </documentManagement>
</p:properties>
</file>

<file path=customXml/itemProps1.xml><?xml version="1.0" encoding="utf-8"?>
<ds:datastoreItem xmlns:ds="http://schemas.openxmlformats.org/officeDocument/2006/customXml" ds:itemID="{4633C72E-A000-49F2-90A3-27EC09E3BAF8}"/>
</file>

<file path=customXml/itemProps2.xml><?xml version="1.0" encoding="utf-8"?>
<ds:datastoreItem xmlns:ds="http://schemas.openxmlformats.org/officeDocument/2006/customXml" ds:itemID="{954D2712-C5D2-4864-8301-F3FA492DF2D9}"/>
</file>

<file path=customXml/itemProps3.xml><?xml version="1.0" encoding="utf-8"?>
<ds:datastoreItem xmlns:ds="http://schemas.openxmlformats.org/officeDocument/2006/customXml" ds:itemID="{8BF2F05A-E61C-4663-B93F-06E973D32BC4}"/>
</file>

<file path=docProps/app.xml><?xml version="1.0" encoding="utf-8"?>
<Properties xmlns="http://schemas.openxmlformats.org/officeDocument/2006/extended-properties" xmlns:vt="http://schemas.openxmlformats.org/officeDocument/2006/docPropsVTypes">
  <Template>Normal.dotm</Template>
  <TotalTime>1036</TotalTime>
  <Pages>11</Pages>
  <Words>3158</Words>
  <Characters>18006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Menon</dc:creator>
  <cp:keywords/>
  <dc:description/>
  <cp:lastModifiedBy>Ivan Zyuzin</cp:lastModifiedBy>
  <cp:revision>13</cp:revision>
  <cp:lastPrinted>2026-02-20T16:29:00Z</cp:lastPrinted>
  <dcterms:created xsi:type="dcterms:W3CDTF">2026-02-20T16:29:00Z</dcterms:created>
  <dcterms:modified xsi:type="dcterms:W3CDTF">2026-03-09T13:12:00Z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0x01010093E876ED0DE60C4CB0F934551C561DC5</vt:lpwstr>
  </property>
</Properties>
</file>