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rFonts w:ascii="Times New Roman" w:cs="Times New Roman" w:eastAsia="Times New Roman" w:hAnsi="Times New Roman"/>
          <w:b/>
          <w:bCs/>
          <w:sz w:val="24"/>
          <w:szCs w:val="24"/>
        </w:rPr>
        <w:t xml:space="preserve">ACTION BY WRITTEN CONSENT</w:t>
      </w:r>
    </w:p>
    <w:p>
      <w:pPr>
        <w:spacing w:after="240"/>
        <w:jc w:val="center"/>
      </w:pPr>
      <w:r>
        <w:rPr>
          <w:rFonts w:ascii="Times New Roman" w:cs="Times New Roman" w:eastAsia="Times New Roman" w:hAnsi="Times New Roman"/>
          <w:b/>
          <w:bCs/>
          <w:sz w:val="24"/>
          <w:szCs w:val="24"/>
        </w:rPr>
        <w:t xml:space="preserve">OF THE STOCKHOLDERS OF</w:t>
      </w:r>
    </w:p>
    <w:p>
      <w:pPr>
        <w:spacing w:after="240"/>
        <w:jc w:val="center"/>
      </w:pPr>
      <w:r>
        <w:rPr>
          <w:rFonts w:ascii="Times New Roman" w:cs="Times New Roman" w:eastAsia="Times New Roman" w:hAnsi="Times New Roman"/>
          <w:b/>
          <w:bCs/>
          <w:sz w:val="24"/>
          <w:szCs w:val="24"/>
        </w:rPr>
        <w:t xml:space="preserve">FLMLNK, INC</w:t>
      </w:r>
    </w:p>
    <w:p>
      <w:pPr>
        <w:spacing w:after="240"/>
        <w:ind w:firstLine="720"/>
        <w:jc w:val="both"/>
      </w:pPr>
      <w:r>
        <w:rPr>
          <w:rFonts w:ascii="Times New Roman" w:cs="Times New Roman" w:eastAsia="Times New Roman" w:hAnsi="Times New Roman"/>
          <w:sz w:val="24"/>
          <w:szCs w:val="24"/>
        </w:rPr>
        <w:t xml:space="preserve">Pursuant to Section 228 of the Delaware General Corporation Law and the Bylaws of FlmLnk, Inc, a Delaware corporation (the “Company”), the undersigned stockholders of the Company hereby take the following actions and adopt the following resolutions by written consent:</w:t>
      </w:r>
    </w:p>
    <w:p>
      <w:pPr>
        <w:tabs>
          <w:tab w:val="left" w:pos="1080"/>
        </w:tabs>
        <w:spacing w:after="240" w:before="24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Certificate of Incorporation.</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a copy of the Certificate of Incorporation of the Company as filed with the Delaware Secretary of State and bearing the file stamp and certification of the Delaware Secretary of State, and attached hereto as Exhibit A, is hereby accepted and ratified.</w:t>
      </w:r>
    </w:p>
    <w:p>
      <w:pPr>
        <w:tabs>
          <w:tab w:val="left" w:pos="1080"/>
        </w:tabs>
        <w:spacing w:after="240" w:before="24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Bylaws.</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a copy of the Bylaws of the Company as adopted by the Incorporator of the Company and approved by the Board of Directors of the Company, and attached hereto as Exhibit B, is hereby accepted and ratified.</w:t>
      </w:r>
    </w:p>
    <w:p>
      <w:pPr>
        <w:tabs>
          <w:tab w:val="left" w:pos="1080"/>
        </w:tabs>
        <w:spacing w:after="240" w:before="24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Omnibus Resolution.</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the officers of the Company are each hereby authorized to take all such further action and to execute all such documents as they deem necessary or appropriate to carry out the foregoing resolutions. That the officers of the Company are each hereby authorized to take all such further action and to execute all such documents as they deem necessary or appropriate to carry out the foregoing resolutions. That the officers of the Company are each hereby authorized to take all such further action and to execute all such documents as they deem necessary or appropriate to carry out the foregoing resolutions. </w:t>
      </w:r>
    </w:p>
    <w:p>
      <w:pPr>
        <w:tabs>
          <w:tab w:val="left" w:pos="1080"/>
        </w:tabs>
        <w:spacing w:after="240" w:before="240"/>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Additional Matter 1.</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the Company is authorized to do the thing described in this paragraph, which is long enough to wrap across several lines so that the content flows onto a second page without an explicit page break. That the Company is authorized to do the thing described in this paragraph, which is long enough to wrap across several lines so that the content flows onto a second page without an explicit page break. </w:t>
      </w:r>
    </w:p>
    <w:p>
      <w:pPr>
        <w:tabs>
          <w:tab w:val="left" w:pos="1080"/>
        </w:tabs>
        <w:spacing w:after="240" w:before="240"/>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Additional Matter 2.</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the Company is authorized to do the thing described in this paragraph, which is long enough to wrap across several lines so that the content flows onto a second page without an explicit page break. That the Company is authorized to do the thing described in this paragraph, which is long enough to wrap across several lines so that the content flows onto a second page without an explicit page break. </w:t>
      </w:r>
    </w:p>
    <w:p>
      <w:pPr>
        <w:tabs>
          <w:tab w:val="left" w:pos="1080"/>
        </w:tabs>
        <w:spacing w:after="240" w:before="240"/>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Additional Matter 3.</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the Company is authorized to do the thing described in this paragraph, which is long enough to wrap across several lines so that the content flows onto a second page without an explicit page break. That the Company is authorized to do the thing described in this paragraph, which is long enough to wrap across several lines so that the content flows onto a second page without an explicit page break. </w:t>
      </w:r>
    </w:p>
    <w:p>
      <w:pPr>
        <w:tabs>
          <w:tab w:val="left" w:pos="1080"/>
        </w:tabs>
        <w:spacing w:after="240" w:before="240"/>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Additional Matter 4.</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the Company is authorized to do the thing described in this paragraph, which is long enough to wrap across several lines so that the content flows onto a second page without an explicit page break. That the Company is authorized to do the thing described in this paragraph, which is long enough to wrap across several lines so that the content flows onto a second page without an explicit page break. </w:t>
      </w:r>
    </w:p>
    <w:p>
      <w:pPr>
        <w:tabs>
          <w:tab w:val="left" w:pos="1080"/>
        </w:tabs>
        <w:spacing w:after="240" w:before="240"/>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Additional Matter 5.</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the Company is authorized to do the thing described in this paragraph, which is long enough to wrap across several lines so that the content flows onto a second page without an explicit page break. That the Company is authorized to do the thing described in this paragraph, which is long enough to wrap across several lines so that the content flows onto a second page without an explicit page break. </w:t>
      </w:r>
    </w:p>
    <w:p>
      <w:pPr>
        <w:tabs>
          <w:tab w:val="left" w:pos="1080"/>
        </w:tabs>
        <w:spacing w:after="240" w:before="240"/>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u w:val="single"/>
        </w:rPr>
        <w:t xml:space="preserve">Additional Matter 6.</w:t>
      </w:r>
    </w:p>
    <w:p>
      <w:pPr>
        <w:ind w:left="1080"/>
      </w:pPr>
      <w:r>
        <w:rPr>
          <w:rFonts w:ascii="Times New Roman" w:cs="Times New Roman" w:eastAsia="Times New Roman" w:hAnsi="Times New Roman"/>
          <w:b/>
          <w:bCs/>
          <w:sz w:val="24"/>
          <w:szCs w:val="24"/>
          <w:u w:val="single"/>
        </w:rPr>
        <w:t xml:space="preserve">RESOLVED.</w:t>
      </w:r>
    </w:p>
    <w:p>
      <w:pPr>
        <w:spacing w:after="240"/>
        <w:ind w:left="1080"/>
        <w:jc w:val="both"/>
      </w:pPr>
      <w:r>
        <w:rPr>
          <w:rFonts w:ascii="Times New Roman" w:cs="Times New Roman" w:eastAsia="Times New Roman" w:hAnsi="Times New Roman"/>
          <w:sz w:val="24"/>
          <w:szCs w:val="24"/>
        </w:rPr>
        <w:t xml:space="preserve">That the Company is authorized to do the thing described in this paragraph, which is long enough to wrap across several lines so that the content flows onto a second page without an explicit page break. That the Company is authorized to do the thing described in this paragraph, which is long enough to wrap across several lines so that the content flows onto a second page without an explicit page break. </w:t>
      </w:r>
    </w:p>
    <w:p>
      <w:pPr>
        <w:pStyle w:val="ListParagraph"/>
        <w:numPr>
          <w:ilvl w:val="0"/>
          <w:numId w:val="2"/>
        </w:numPr>
        <w:spacing w:after="120"/>
      </w:pPr>
      <w:r>
        <w:rPr>
          <w:rFonts w:ascii="Times New Roman" w:cs="Times New Roman" w:eastAsia="Times New Roman" w:hAnsi="Times New Roman"/>
          <w:sz w:val="24"/>
          <w:szCs w:val="24"/>
        </w:rPr>
        <w:t xml:space="preserve">first auto-numbered item</w:t>
      </w:r>
    </w:p>
    <w:p>
      <w:pPr>
        <w:pStyle w:val="ListParagraph"/>
        <w:numPr>
          <w:ilvl w:val="0"/>
          <w:numId w:val="2"/>
        </w:numPr>
        <w:spacing w:after="120"/>
      </w:pPr>
      <w:r>
        <w:rPr>
          <w:rFonts w:ascii="Times New Roman" w:cs="Times New Roman" w:eastAsia="Times New Roman" w:hAnsi="Times New Roman"/>
          <w:sz w:val="24"/>
          <w:szCs w:val="24"/>
        </w:rPr>
        <w:t xml:space="preserve">second auto-numbered item</w:t>
      </w:r>
    </w:p>
    <w:p>
      <w:pPr>
        <w:pStyle w:val="ListParagraph"/>
        <w:numPr>
          <w:ilvl w:val="0"/>
          <w:numId w:val="2"/>
        </w:numPr>
        <w:spacing w:after="120"/>
      </w:pPr>
      <w:r>
        <w:rPr>
          <w:rFonts w:ascii="Times New Roman" w:cs="Times New Roman" w:eastAsia="Times New Roman" w:hAnsi="Times New Roman"/>
          <w:sz w:val="24"/>
          <w:szCs w:val="24"/>
        </w:rPr>
        <w:t xml:space="preserve">third auto-numbered item</w:t>
      </w:r>
    </w:p>
    <w:p>
      <w:r>
        <w:br w:type="page"/>
      </w:r>
    </w:p>
    <w:p>
      <w:pPr>
        <w:spacing w:after="240"/>
        <w:jc w:val="center"/>
      </w:pPr>
      <w:r>
        <w:rPr>
          <w:rFonts w:ascii="Times New Roman" w:cs="Times New Roman" w:eastAsia="Times New Roman" w:hAnsi="Times New Roman"/>
          <w:b/>
          <w:bCs/>
          <w:sz w:val="24"/>
          <w:szCs w:val="24"/>
        </w:rPr>
        <w:t xml:space="preserve">SIGNATURE PAGE</w:t>
      </w:r>
    </w:p>
    <w:p>
      <w:pPr>
        <w:spacing w:before="720"/>
      </w:pPr>
      <w:r>
        <w:rPr>
          <w:rFonts w:ascii="Times New Roman" w:cs="Times New Roman" w:eastAsia="Times New Roman" w:hAnsi="Times New Roman"/>
          <w:sz w:val="24"/>
          <w:szCs w:val="24"/>
        </w:rPr>
        <w:t xml:space="preserve">______________________________</w:t>
      </w:r>
    </w:p>
    <w:p>
      <w:r>
        <w:rPr>
          <w:rFonts w:ascii="Times New Roman" w:cs="Times New Roman" w:eastAsia="Times New Roman" w:hAnsi="Times New Roman"/>
          <w:sz w:val="24"/>
          <w:szCs w:val="24"/>
        </w:rPr>
        <w:t xml:space="preserve">Stockholder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2026-09-24T04:26:36.134Z</dcterms:created>
  <dcterms:modified xsi:type="dcterms:W3CDTF">2026-09-24T04:26:36.134Z</dcterms:modified>
</cp:coreProperties>
</file>

<file path=docProps/custom.xml><?xml version="1.0" encoding="utf-8"?>
<Properties xmlns="http://schemas.openxmlformats.org/officeDocument/2006/custom-properties" xmlns:vt="http://schemas.openxmlformats.org/officeDocument/2006/docPropsVTypes"/>
</file>