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i/>
          <w:color w:val="888888"/>
          <w:sz w:val="28"/>
        </w:rPr>
        <w:t>[ LOGO TUGURE ]</w:t>
      </w:r>
    </w:p>
    <w:p/>
    <w:p/>
    <w:p>
      <w:pPr>
        <w:jc w:val="center"/>
      </w:pPr>
      <w:r>
        <w:rPr>
          <w:rFonts w:ascii="Arial" w:hAnsi="Arial"/>
          <w:b/>
          <w:color w:val="1F4E79"/>
          <w:sz w:val="40"/>
        </w:rPr>
        <w:t>DECISION LOG</w:t>
      </w:r>
    </w:p>
    <w:p>
      <w:pPr>
        <w:jc w:val="center"/>
      </w:pPr>
      <w:r>
        <w:rPr>
          <w:rFonts w:ascii="Arial" w:hAnsi="Arial"/>
          <w:b/>
          <w:color w:val="1F4E79"/>
          <w:sz w:val="36"/>
        </w:rPr>
        <w:t>BLIPS IFRS 9 — DECISION LOG</w:t>
      </w:r>
    </w:p>
    <w:p/>
    <w:p>
      <w:pPr>
        <w:jc w:val="center"/>
      </w:pPr>
      <w:r>
        <w:rPr>
          <w:rFonts w:ascii="Arial" w:hAnsi="Arial"/>
          <w:i/>
          <w:color w:val="555555"/>
          <w:sz w:val="28"/>
        </w:rPr>
        <w:t>Critical Project Decisions • Addendum to BRD/SoW/FSD/ERD</w:t>
      </w:r>
    </w:p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PT TUGU REASURANSI INDONESIA</w:t>
      </w:r>
    </w:p>
    <w:p>
      <w:pPr>
        <w:jc w:val="center"/>
      </w:pPr>
      <w:r>
        <w:rPr>
          <w:rFonts w:ascii="Arial" w:hAnsi="Arial"/>
          <w:sz w:val="24"/>
        </w:rPr>
        <w:t>(TUGURE)</w:t>
      </w:r>
    </w:p>
    <w:p/>
    <w:p>
      <w:pPr>
        <w:jc w:val="center"/>
      </w:pPr>
      <w:r>
        <w:rPr>
          <w:rFonts w:ascii="Arial" w:hAnsi="Arial"/>
          <w:sz w:val="24"/>
        </w:rPr>
        <w:t>Versi 1.0  •  02 Mei 2026</w:t>
      </w:r>
    </w:p>
    <w:p>
      <w:pPr>
        <w:jc w:val="center"/>
      </w:pPr>
      <w:r>
        <w:rPr>
          <w:rFonts w:ascii="Arial" w:hAnsi="Arial"/>
          <w:i/>
          <w:color w:val="C00000"/>
          <w:sz w:val="22"/>
        </w:rPr>
        <w:t>Status: DRAFT FOR REVIEW</w:t>
      </w:r>
    </w:p>
    <w:p>
      <w:r>
        <w:br w:type="page"/>
      </w:r>
    </w:p>
    <w:p>
      <w:pPr>
        <w:pStyle w:val="Heading1"/>
      </w:pPr>
      <w:r>
        <w:t>Atribut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Atribut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Judul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Decision Log — Sistem BLIPS IFRS 9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DEC-BLIPS-IFRS9-2026-001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Versi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ACTIVE — Reference for ongoing implementation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Terbit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29 Mei 2026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Bahasa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Bahasa Indonesia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Pemilik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Working Group BLIPS — IT Internal Team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Penyusun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Manager + IT Architect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Reviewer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Working Group, Direksi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CFO selaku Sponsor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Fungsi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Mencatat seluruh keputusan critical yang menjadi addendum terhadap BRD/SoW/FSD/ERD. Dipakai sebagai single source of truth untuk decision history yang membentuk arah implementasi.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Audiens Utama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Internal IT team (developers, DBA, DevOps), agentic AI agents yang implementasi, business stakeholder untuk konteks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v1.3, BRD v1.1, FSD Master v1.0, FSD Appendix A-E, ERD v1.2</w:t>
            </w:r>
          </w:p>
        </w:tc>
      </w:tr>
    </w:tbl>
    <w:p/>
    <w:p>
      <w:r>
        <w:br w:type="page"/>
      </w:r>
    </w:p>
    <w:p>
      <w:pPr>
        <w:pStyle w:val="Heading1"/>
      </w:pPr>
      <w:r>
        <w:t>1. Pendahuluan</w:t>
      </w:r>
    </w:p>
    <w:p>
      <w:pPr>
        <w:pStyle w:val="Heading2"/>
      </w:pPr>
      <w:r>
        <w:t>1.1 Tujuan Dokumen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Decision Log ini merekam keputusan-keputusan strategic dan teknis yang diambil oleh Working Group BLIPS dan stakeholder kunci selama Discovery &amp; Planning Phase. Decision Log bersifat addendum — tidak mengganti BRD/SoW/FSD/ERD yang sudah ada, melainkan mencatat keputusan konkret untuk item-item yang sebelumnya disajikan sebagai recommendation, alternatif, atau placeholder di dokumen utama.</w:t>
      </w:r>
    </w:p>
    <w:p>
      <w:pPr>
        <w:pStyle w:val="Heading2"/>
      </w:pPr>
      <w:r>
        <w:t>1.2 Konteks Strategis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PT Tugu Reasuransi Indonesia memutuskan untuk mengimplementasi BLIPS IFRS 9 dengan tim internal IT (tanpa vendor implementor eksternal) menggunakan pendekatan agentic AI sebagai team builder. Pendekatan ini memerlukan input deterministic yang lebih tegas dibanding delivery konvensional dengan vendor — semua ambiguitas di dokumen baseline harus di-resolve sebelum agent mulai produktif.</w:t>
      </w:r>
    </w:p>
    <w:p>
      <w:pPr>
        <w:pStyle w:val="Heading2"/>
      </w:pPr>
      <w:r>
        <w:t>1.3 Format Keputusan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Setiap keputusan mencakup elemen berikut: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Decision ID — kode unik (DEC-###)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Decision Title — judul ringkas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Decision — keputusan aktual yang dibuat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Rationale — alasan dipilih option ini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Impact — dampak ke dokumen lain &amp; implementasi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Downstream Changes — perubahan yang harus dilakukan ke dokumen turunan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Status — ACTIVE / SUPERSEDED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Decided By — siapa yang mengambil keputusan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Decided On — tanggal</w:t>
      </w:r>
    </w:p>
    <w:p>
      <w:r>
        <w:br w:type="page"/>
      </w:r>
    </w:p>
    <w:p>
      <w:pPr>
        <w:pStyle w:val="Heading1"/>
      </w:pPr>
      <w:r>
        <w:t>2. Critical Decisions (29 Mei 2026)</w:t>
      </w:r>
    </w:p>
    <w:p>
      <w:pPr>
        <w:pStyle w:val="Heading2"/>
      </w:pPr>
      <w:r>
        <w:t>2.1 DEC-001 — Technology Stack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Aspek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Decision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Technology stack final: Backend Golang, Frontend Next.js (versi 14+), Database PostgreSQL 18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ACTIVE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Decided By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Working Group BLIPS + IT Architect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Decided On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29 Mei 2026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Supersedes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Master v1.0 §2.2 (yang sebelumnya menyajikan recommendation matrix dengan multiple alternatif)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Detail technology stack final: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Pilihan Final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Rasional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Backend Language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Golang (Go) 1.22+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Performance tinggi untuk batch processing (MTM harian, ECL akhir bulan); concurrent processing native via goroutines; binary deployment sederhana untuk on-premise; ecosystem mature untuk financial systems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Backend Framework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Gin atau Fiber (HTTP router) + GORM (ORM) ATAU sqlx untuk performance-critical queries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Lightweight, fast, well-documented. GORM untuk CRUD standard; sqlx untuk reporting query kompleks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Frontend Framework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Next.js 14+ (React 18, App Router, TypeScript)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Modern React framework, SSR support untuk reporting page yang berat, App Router untuk modular structure, TypeScript untuk type safety di financial calculations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Frontend State Management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Zustand atau Redux Toolkit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Zustand simpler untuk module independence; Redux Toolkit bila perlu time-travel debugging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Frontend UI Library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shadcn/ui (Radix UI primitives + Tailwind CSS) atau Ant Design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shadcn/ui untuk modern customizable UI; Ant Design bila prefer mature enterprise components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Database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PostgreSQL 18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Latest stable; advanced features (improved partitioning, JSONB performance, vector support untuk future AI features); proven untuk financial workloads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ORM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GORM v2 untuk standard CRUD; sqlx untuk complex reporting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GORM auto-migration untuk schema management; sqlx untuk fine-grained control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API Style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 + JSON (sesuai FSD Master Bab 6)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Mengikuti spec API yang sudah didefinisikan; future-proof untuk gRPC internal services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Authentication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JWT (golang-jwt/jwt) + Argon2id password hashing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Standard JWT untuk stateless auth; Argon2 untuk strength password hashing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IDP / SSO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Keycloak (on-premise) atau Active Directory + custom SAML adapter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Keycloak open-source, on-premise, integrate dengan Tugure AD via LDAP federation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Job Scheduler / Queue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Asynq atau River (Go-native) atau Temporal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Asynq simple untuk job queue; Temporal untuk complex workflow orchestration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Caching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Redis 7+ (single-node atau cluster bila scale up)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Standard untuk Go ecosystem, well-supported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Object Storage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MinIO (S3-compatible, on-premise)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On-premise S3 alternative; sesuai requirement on-premise deployment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Monitoring &amp; Logging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Prometheus + Grafana + Loki (logs) + Jaeger (tracing)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Open-source observability stack; on-premise deployment friendly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CI/CD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GitLab CI (self-hosted) atau Jenkins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Self-hosted untuk on-premise; GitLab integration dengan Git repo internal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Containerization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Docker + Docker Compose untuk development; Kubernetes (on-premise) untuk production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Standard containerization; K8s untuk orchestration scale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Infrastructure-as-Code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Terraform untuk infrastructure; Ansible untuk configuration management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Industry standard untuk IaC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Testing — Backend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Go built-in testing + testify (assertions) + gomock (mocking) + testcontainers-go (integration)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Go ecosystem standard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Testing — Frontend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Jest + React Testing Library + Playwright (E2E)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Modern frontend testing stack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Code Quality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golangci-lint untuk Go; ESLint + Prettier untuk TypeScript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Standard linters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Documentation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Swagger / OpenAPI 3.0 untuk API docs (swaggo/swag); Storybook untuk frontend components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Auto-generated docs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Rasional dipilih Golang + Next.js + PostgreSQL 18: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Performance untuk job batch — Go goroutines memungkinkan parallel processing ECL/MTM untuk 1.500+ instrumen dalam SLA.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Single binary deployment di on-premise — Go compile ke binary tunggal, mudah deploy &amp; rollback tanpa runtime dependency seperti JVM atau Node.js runtime.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PostgreSQL 18 — pgcrypto, JSONB, GIN, partitioning native (sudah dipakai di ERD), parallel query.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Next.js untuk frontend — modern, productive, TypeScript-friendly untuk complex financial UI; SSR untuk reporting page yang akses banyak data.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Talent availability — Go developer pool di Indonesia growing; Next.js sangat populer untuk modern web dev.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Open-source friendly — sesuai pendekatan internal IT team tanpa vendor lock-in.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Impact ke FSD Master: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FSD Master §2.2 Recommended Tech Stack table di-update: hapus alternatif, set Go/Next.js/PostgreSQL 18 sebagai LOCKED choice.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FSD Master §2.3 Deployment Topology di-revise: on-premise only (lihat DEC-002).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FSD Appendix B-E §API endpoints di-implement dengan Gin/Fiber spec.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ERD §SQL DDL sudah ditulis untuk PostgreSQL — confirm compatible dengan v18 (sebagian besar syntax sama dengan v15; perlu test edge cases).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BLIPS_init_schema.sql perlu cek: extension pgcrypto + uuidv7 function compatibility dengan PostgreSQL 18.</w:t>
      </w:r>
    </w:p>
    <w:p>
      <w:r>
        <w:br w:type="page"/>
      </w:r>
    </w:p>
    <w:p>
      <w:pPr>
        <w:pStyle w:val="Heading2"/>
      </w:pPr>
      <w:r>
        <w:t>2.2 DEC-002 — Deployment Topology: On-Premise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Aspek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Decision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Deployment full on-premise di data center Tugure. Tidak menggunakan cloud public/private.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ACTIVE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Decided By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IT + CFO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Decided On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29 Mei 2026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Supersedes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Master v1.0 §2.3 (yang sebelumnya menyajikan opsi cloud Indonesia)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Detail deployment topology: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Spec On-Premise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Production Data Center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Data center primary Tugure (Jakarta)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 Data Center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Data center secondary (Surabaya/Cikarang) — opsional Phase 2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Compute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Bare-metal servers atau virtualization (VMware / Proxmox / KVM)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Network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Internal corporate network; integrate dengan existing Tugure infrastructure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Storage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SAN/NAS on-premise; MinIO untuk object storage (document upload)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Database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PostgreSQL 18 — primary di production rack; read-replica di same DC untuk reporting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Backup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Local backup server + offsite tape/storage; retention 10 tahun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Network Perimeter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Existing Tugure firewall + WAF; tidak ada exposure ke internet kecuali integrasi terbatas (Pefindo manual upload, BI JISDOR via egress proxy)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Identity Provider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Integrate dengan Tugure Active Directory (LDAP federation atau Keycloak)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Monitoring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Prometheus + Grafana on-premise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Backup &amp; Recovery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PostgreSQL pg_basebackup + WAL archival; restore test quarterly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 Availability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Phase 1: single-DC dengan internal redundancy (DB primary+replica, app tier 2-node). Phase 2: cross-DC failover bila scale up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Rasional on-premise: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Data sovereignty — financial data Tugure tetap di dalam fisik infrastructure perusahaan, simplify compliance UU PDP.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Existing infrastructure — Tugure sudah punya data center matang dengan tim ops yang familiar.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No vendor cloud lock-in — sesuai pendekatan internal IT team.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Cost predictability — fixed infrastructure cost vs variable cloud cost untuk workload steady-state.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Latency dengan GL host &amp; sistem existing Tugure (saat integrate Phase 2) lebih rendah karena sama-sama on-premise.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Impact: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FSD Master §2.3 Deployment Topology: hapus opsi cloud, fokus on-premise.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FSD Master §3.1 Security Architecture: update untuk on-premise network model (no AWS IAM, gunakan internal RBAC + Tugure AD).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Document Storage: MinIO on-premise sebagai S3-compatible (FSD Master §5.6).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Backup retention 10 tahun harus include offsite component (tape, atau replicate ke DR site).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DR Site planning untuk Phase 2 — Phase 1 single-DC dulu untuk simplify go-live.</w:t>
      </w:r>
    </w:p>
    <w:p>
      <w:r>
        <w:br w:type="page"/>
      </w:r>
    </w:p>
    <w:p>
      <w:pPr>
        <w:pStyle w:val="Heading2"/>
      </w:pPr>
      <w:r>
        <w:t>2.3 DEC-003 — Delivery Model: Internal IT Team (No Vendor Implementor)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Aspek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Decision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Implementasi 100% oleh tim IT internal Tugure dengan bantuan agentic AI sebagai team builder. Tidak ada vendor implementor eksternal.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ACTIVE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Decided By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Direksi (Direktur IT + CFO)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Decided On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29 Mei 2026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Supersedes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BRD v1.1 §12.3 D-02 (Vendor selection sebagai critical path) — sekarang TIDAK BERLAKU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Struktur tim internal 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Tanggung Jawab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Catatan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IT Architect (Lead)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Solution architecture, technical decisions, code review escalation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Senior engineer Tugure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Backend Developers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Go service development per modul (master data, transaction, ECL/EIR, reporting)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2-3 mid/senior engineers atau setara via agentic AI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Frontend Developers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Next.js UI development per modul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1-2 engineers atau setara via agentic AI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Database Architect / DBA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PostgreSQL design, migration, performance tuning, backup/recovery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Senior DBA Tugure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DevOps Engineer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Infrastructure provisioning, CI/CD, monitoring, deployment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1-2 engineers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QA Engineer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Test case design, automation, UAT facilitation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engineer + agent assistance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Security Engineer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Security review, pentest coordination, audit trail validation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Existing Tugure Security team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Manager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tracking, risk management, stakeholder communication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Senior PM dengan financial systems experience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Bridge antara business requirement &amp; technical implementation; review compliance interpretation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 dengan PSAK 71 knowledge (atau external consultant pada milestone tertentu)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DSAK-Certified Accountant Reviewer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Review compliance implementation (EIR, ECL, klasifikasi); sign-off Phase 6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Internal Akuntansi senior atau external consultant per milestone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Rasional: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Kontrol penuh atas codebase dan IP — tidak ada vendor lock-in.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Knowledge retention — tim internal yang membangun akan maintain jangka panjang.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Cost efficiency — eliminasi vendor margin (typical 30-50% markup).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Iteration speed — tidak ada friction kontrak/PO untuk small changes.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Existing skills — Tugure IT team punya base technical capability yang bisa di-leverage dengan agentic AI sebagai force multiplier.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Risiko &amp; Mitigasi: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RISK: Lack of vendor accountability untuk delivery. MITIGATION: Internal SLA dengan tim IT; CFO sebagai accountable executive; phase gate reviews bulanan dengan Steering.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RISK: Compliance interpretation gap (DSAK-level expertise). MITIGATION: Engage DSAK-certified external consultant untuk milestone reviews (Phase 1 design, Phase 6 ECL/EIR, Phase 9 UAT, Phase 10 go-live).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RISK: Production incident response 24x7. MITIGATION: On-call rotation tim internal + runbook + escalation matrix.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RISK: Auditor eksternal Tugure skeptical terhadap AI-implemented code. MITIGATION: Engage auditor early (briefing di Phase 1), document AI development methodology + human review checkpoints, demonstrate audit trail integrity.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Impact: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BRD §12.3 D-02 Vendor selection: TIDAK BERLAKU. Update dependency status menjadi N/A.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BRD §13 Risk Register R-05 (Vendor underdeliver): TIDAK BERLAKU. Tambah risk baru R-16 (Internal team capacity gap).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BRD §15 Implementation Approach: update — no vendor management overhead.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Working Group BLIPS struktur: tidak include vendor lead; full internal.</w:t>
      </w:r>
    </w:p>
    <w:p>
      <w:r>
        <w:br w:type="page"/>
      </w:r>
    </w:p>
    <w:p>
      <w:pPr>
        <w:pStyle w:val="Heading2"/>
      </w:pPr>
      <w:r>
        <w:t>2.4 DEC-004 — Master CoA: Gunakan Existing Tugure GL CoA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Aspek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Decision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Gunakan CoA existing Tugure dari sistem GL existing sebagai master CoA BLIPS. Tidak membuat CoA baru.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ACTIVE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Decided By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Akuntansi + CFO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Decided On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29 Mei 2026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Supersedes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v1.3 §5.1.9 (yang memberikan opsi internal/import_erp/import_excel)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Approach: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Akuntansi Tugure export full CoA dari sistem GL existing (Excel format).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Sample 12 baris CoA yang sudah ada di SQL DDL Section 12.9 hanya sebagai placeholder — replace dengan actual Tugure CoA.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Sumber_coa di mst.chart_of_accounts = 'IMPORT_EXCEL_TUGURE_GL'.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Mapping kategori_investasi (AC/FVOCI/FVTPL/OCI_FVOCI/CKPN) per akun dilakukan secara manual oleh Akuntansi saat import — bukan auto-detect.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Master Mapping Jurnal Bab 5.1.10 di-config menggunakan kode_akun dari CoA existing.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Catatan untuk Implementasi: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Akuntansi Tugure perlu sediakan: Excel file CoA dengan kolom (Kode Akun, Nama Akun, Tipe, Sub-Tipe, Posisi Normal, Kategori Investasi mapping per akun).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Akuntansi memutuskan: akun mana yang dipakai untuk Investasi AC, FVOCI, FVTPL, OCI, CKPN, Pendapatan Bunga, Pendapatan Dividen, Realized Gain/Loss, FX Unrealized/Realized, PPh Beban.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Bila CoA existing tidak punya akun spesifik untuk FVOCI / OCI / CKPN (mis. GL legacy tidak granular per klasifikasi PSAK 71), Akuntansi perlu setup akun baru di GL existing DULU sebelum import ke BLIPS.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Impact: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SQL DDL Section 12.9 (sample CoA) — replace dengan actual Tugure CoA saat seed initial.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Master Mapping Jurnal Bab 5.1.10 — config akun mapping menggunakan kode_akun aktual Tugure (bukan 1.1.2.001 dll yang generik).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UI Master CoA Bab 5.1.9: prioritas tinggi pada import Excel dari GL existing.</w:t>
      </w:r>
    </w:p>
    <w:p>
      <w:r>
        <w:br w:type="page"/>
      </w:r>
    </w:p>
    <w:p>
      <w:pPr>
        <w:pStyle w:val="Heading2"/>
      </w:pPr>
      <w:r>
        <w:t>2.5 DEC-005 — GL Host Integration: DEFERRED ke Phase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Aspek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Decision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Phase 1 (initial go-live) BLIPS berjalan STANDALONE — tidak ada integrasi otomatis ke GL Host. Jurnal posted di BLIPS sebagai internal record; export manual / batch ke GL Host. Integrasi otomatis dilakukan di Phase 2.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ACTIVE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Decided By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CFO + Direktur IT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Decided On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29 Mei 2026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Supersedes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Master v1.0 §5.2 (REST API spec ke GL Host); BRD v1.1 §6.4 (GL Host interface as required)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Mode Phase 1 (Standalone):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BLIPS post jurnal lengkap di internal table jrnl.header + jrnl.detail.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Generate file export harian (CSV/XLSX format yang compatible dengan GL Host Tugure).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Akuntansi download file export → upload manual ke GL Host (atau via SFTP file batch).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Reconciliation: Akuntansi cross-check total D/K BLIPS vs GL Host monthly.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BLIPS jrnl.gl_status: status 'EXPORTED_MANUAL' untuk Phase 1.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Mode Phase 2 (Future Integration):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REST API integration ke GL Host (sesuai FSD Master §5.2 spec).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Real-time posting per transaksi.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Automated reconciliation daily.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Migrasi Phase 1 export-manual → Phase 2 API integration tanpa data loss.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Rasional defer ke Phase 2: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Reduce scope Phase 1 — fokus pada core compliance (klasifikasi, ECL, EIR) terlebih dahulu.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Negosiasi/setup API dengan GL host vendor membutuhkan koordinasi yang dapat memakan waktu — tidak boleh menjadi critical path Phase 1.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Standalone mode memungkinkan parallel run dengan sistem legacy: BLIPS hitung correct, Akuntansi tetap entry manual ke GL legacy untuk safety.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Phase 2 integration setelah BLIPS prove correctness dan trust terbentuk.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Impact: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FSD Master §5.2 GL Host Integration: tandai sebagai 'Phase 2 — Deferred'. Spec tetap valid untuk Phase 2 planning.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BRD §6.4 System Boundaries — GL Host interface: update jadi 'Manual export Phase 1 / API Phase 2'.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FSD Appendix D Bab 3 (Master Mapping Jurnal + GL Interface): tambah section 'Standalone Mode (Phase 1)' yang menjelaskan export file approach.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BRD §15.2 Milestone — Phase 5 (Development Modul Jual + JT + Jurnal &amp; GL Interface): Adjust scope ke 'Jurnal Internal + Export File'.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Risk register: GL integration deferred — risk reduced untuk Phase 1.</w:t>
      </w:r>
    </w:p>
    <w:p>
      <w:r>
        <w:br w:type="page"/>
      </w:r>
    </w:p>
    <w:p>
      <w:pPr>
        <w:pStyle w:val="Heading2"/>
      </w:pPr>
      <w:r>
        <w:t>2.6 DEC-006 — Pefindo PD Source: Annual Default Study 2007-2025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Aspek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Decision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Initial Pefindo PD values di-seed dari Pefindo Annual Default Study 2007-2025 (file PDF di root folder workspace), Appendix 2 (Survival Pool Cumulative Average Default Rate based on Debt Instrument).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ACTIVE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Decided By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Risk Officer + Akuntansi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Decided On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29 Mei 2026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Supersedes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v1.3 §5.1.3 catatan ('angka di atas bersifat ilustratif'); SQL DDL Section 12.8 sample values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Source Data: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File: Pefindo_Annual_Default_Study_2007-2025_EN.pdf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Author: PT Pemeringkat Efek Indonesia (PEFINDO)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Publication date: April 2026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Section referenced: Appendix 2 — Survival Pool Cumulative Average Default Rate (Based on Debt Instrument), pages 19-25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Initial PD Seed Values (Debt Instrument basis — ACTUAL Pefindo data):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Rating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Y1 (12-Month)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Y3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Y5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Y7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Y10</w:t>
            </w:r>
          </w:p>
        </w:tc>
        <w:tc>
          <w:tcPr>
            <w:tcW w:type="dxa" w:w="306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Catatan</w:t>
            </w:r>
          </w:p>
        </w:tc>
      </w:tr>
      <w:tr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idAAA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306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 default observed 2007-2025</w:t>
            </w:r>
          </w:p>
        </w:tc>
      </w:tr>
      <w:tr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idAA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0,0020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0,0020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0,0020</w:t>
            </w:r>
          </w:p>
        </w:tc>
        <w:tc>
          <w:tcPr>
            <w:tcW w:type="dxa" w:w="306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default (2012, SHIP) di Y5; remain flat sampai Y18</w:t>
            </w:r>
          </w:p>
        </w:tc>
      </w:tr>
      <w:tr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idA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0,0031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0,0290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0,0549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0,0549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0,0549</w:t>
            </w:r>
          </w:p>
        </w:tc>
        <w:tc>
          <w:tcPr>
            <w:tcW w:type="dxa" w:w="306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Multiple defaults — 0,31% Y1, naik ke 5,49% Y5+</w:t>
            </w:r>
          </w:p>
        </w:tc>
      </w:tr>
      <w:tr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idBBB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0,0567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0,1734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0,1866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0,1934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0,1934</w:t>
            </w:r>
          </w:p>
        </w:tc>
        <w:tc>
          <w:tcPr>
            <w:tcW w:type="dxa" w:w="306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Highest default rate among investment grade; flat di 19,34% setelah Y6</w:t>
            </w:r>
          </w:p>
        </w:tc>
      </w:tr>
      <w:tr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idBB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0,5008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0,5683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0,5683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0,5683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0,5683</w:t>
            </w:r>
          </w:p>
        </w:tc>
        <w:tc>
          <w:tcPr>
            <w:tcW w:type="dxa" w:w="306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Very high Y1 PD; non-investment grade</w:t>
            </w:r>
          </w:p>
        </w:tc>
      </w:tr>
      <w:tr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idB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306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Limited monitoring population di Pefindo (perlu internal model override)</w:t>
            </w:r>
          </w:p>
        </w:tc>
      </w:tr>
      <w:tr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idCCC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0,0939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0,6633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0,6633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0,6633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0,6633</w:t>
            </w:r>
          </w:p>
        </w:tc>
        <w:tc>
          <w:tcPr>
            <w:tcW w:type="dxa" w:w="306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Y2 jump ke 66,33% (1 issuer SHIP default)</w:t>
            </w:r>
          </w:p>
        </w:tc>
      </w:tr>
      <w:tr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idD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1,0000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1,0000</w:t>
            </w:r>
          </w:p>
        </w:tc>
        <w:tc>
          <w:tcPr>
            <w:tcW w:type="dxa" w:w="306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Default actual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Catatan Penting: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PD untuk idB = 0,00% karena Pefindo memiliki limited monitoring population (hanya 2 issuer dalam 3 tahun terakhir). Tugure Risk Management WAJIB override dengan internal model atau gunakan mapping ke rating international (mis. S&amp;P B → 4-5%).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PD untuk idBB sangat tinggi (50,08% Y1) — reflect actual historical default Pefindo termasuk SHIP sector. Konservatif untuk portfolio Tugure tetapi accurate untuk eksposur high-yield Indonesia.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Tabel di atas adalah Debt Instrument basis. Bila perlu Issuing Company basis untuk Counterparty (bank/issuer level), values berbeda — lihat Appendix 3 PDF.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Lifetime PD Y3/Y5/Y7/Y10 tidak compound dari Y1 — ini ACTUAL observed cumulative dari Pefindo Survival Pool methodology, bukan derivasi mathematical.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Update berkala: Pefindo publish Annual Default Study setiap kuartal — Risk Officer wajib upload version terbaru setiap publikasi.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Impact: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SQL DDL Section 12.8 PD Pefindo seed: REPLACED dengan actual Pefindo values (sudah dilakukan dalam revisi ini).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SoW v1.3 §5.1.3 catatan 'ilustratif': perlu di-update jadi 'actual Pefindo Annual Default Study 2007-2025'.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SoW v1.3 §5.1.3.a Lifetime PD: catatan 'derivation' perlu di-update — Lifetime PD adalah actual cumulative dari Pefindo Survival Pool, bukan derivation mathematical.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Risk Management policy: dokumentasikan keputusan internal override untuk idB (limited population) — perlu memo ALCO.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FSD Appendix C §2 ECL Algorithm: PD values dipakai sesuai tabel actual di atas; tidak ada derivasi cumulative dari 12-month.</w:t>
      </w:r>
    </w:p>
    <w:p>
      <w:r>
        <w:br w:type="page"/>
      </w:r>
    </w:p>
    <w:p>
      <w:pPr>
        <w:pStyle w:val="Heading1"/>
      </w:pPr>
      <w:r>
        <w:t>3. Summary of Downstream Document Changes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Sebagai akibat 6 keputusan di atas, dokumen berikut perlu di-update: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Dokumen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Perubahan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Master v1.0 → v1.1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§2.2 Technology Stack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Lock pilihan: Go/Next.js/PostgreSQL 18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Master v1.0 → v1.1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§2.3 Deployment Topology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On-premise only; hapus cloud options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Master v1.0 → v1.1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§5.2 GL Host Integration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Tandai DEFERRED ke Phase 2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v1.3 → v1.4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§5.1.3 Master PD Pefindo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Update sumber: actual Pefindo PDF, bukan ilustratif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v1.3 → v1.4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§5.1.10/5.11 Mapping Jurnal &amp; GL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Tambah section 'Standalone Mode Phase 1' (export file)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v1.3 → v1.4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§5.1.9 Master CoA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Update default sumber: IMPORT_EXCEL_TUGURE_GL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BRD v1.1 → v1.2 (optional)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§12.3 Dependencies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Hapus vendor selection D-02 (no vendor)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BRD v1.1 → v1.2 (optional)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§13 Risk Register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Hapus R-05; tambah R-16 (Internal capacity)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BLIPS_init_schema.sql v1.2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Section 12.8 Pefindo PD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REPLACED dengan actual Pefindo values (DONE)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BLIPS_init_schema.sql v1.2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Section 12.9 CoA Sample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Replace dengan actual Tugure CoA saat seed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PENDING Akuntansi export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Appendix D v1.1 (optional)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§3 Mapping Jurnal &amp; GL Interface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Tambah section Phase 1 Standalone mode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BRD v1.1 → v1.2 (optional)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§6.4 System Boundaries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GL Host marked 'Manual export Phase 1 / API Phase 2'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Saya rekomendasikan untuk DEC-001 dan DEC-002 update langsung di FSD Master (release v1.1). Untuk DEC-005 dan DEC-006 update di SoW v1.4. BRD/FSD Appendix updates bisa di-batch nanti atau dilakukan parallel saat agent sudah mulai implementasi.</w:t>
      </w:r>
    </w:p>
    <w:p>
      <w:r>
        <w:br w:type="page"/>
      </w:r>
    </w:p>
    <w:p>
      <w:pPr>
        <w:pStyle w:val="Heading1"/>
      </w:pPr>
      <w:r>
        <w:t>4. Open Items yang Masih Perlu Diresolve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Berdasarkan analisis dokumen, masih ada beberapa item dengan priority HIGH yang perlu diklarifikasi sebelum Phase 1 development mulai: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Open Item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Owner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Target Resolve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Master CoA Tugure existing — Excel export dari GL legacy untuk seed initial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Akuntansi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1 kick-off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Counterparty list initial — bank, issuer korporasi, MI, kustodian existing Tugure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Treasury + Risk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3 (Master Data dev)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Initial portfolio + instrumen actual — untuk migration (jika ada)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Treasury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9 (UAT)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 list dengan role assignment untuk sec.user + sec.user_role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IT Admin + HR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3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Tugure Active Directory integration spec (LDAP credentials, group mapping)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IT Security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2 (Desain)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LGD per tipe eksposur final — confirm Tugure pakai Basel III default (0,4500/0,2500/0,4500/0,7500) atau ada internal model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Risk Management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6 (ECL/EIR)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Bobot skenario PD — confirm Tugure pakai 0,25/0,50/0,25 default atau adjust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ALCO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Impact MEV to PD initial values per skenario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ALCO + Risk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Impact PD multiplier initial value (default 1,1500)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ALCO + Risk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SICR threshold confirmation (2 notch downgrade default)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Komite Risiko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Probationary period curing (3 vs 6 bulan)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Komite Risiko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GL Host export file format — confirm format yang accepted oleh GL existing Tugure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Akuntansi + IT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5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DSAK-certified consultant engagement — siapa, kapan, berapa milestone reviews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CFO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Phase 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Auditor eksternal briefing schedule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CFO + Compliance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Phase 8/9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Initial Pefindo PD upload procedure (manual atau API)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Risk Officer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Phase 6</w:t>
            </w:r>
          </w:p>
        </w:tc>
      </w:tr>
    </w:tbl>
    <w:p/>
    <w:p>
      <w:r>
        <w:br w:type="page"/>
      </w:r>
    </w:p>
    <w:p>
      <w:pPr>
        <w:pStyle w:val="Heading1"/>
      </w:pPr>
      <w:r>
        <w:t>5. Approval &amp; Sign-Off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Dengan menandatangani halaman ini, pihak-pihak menyatakan bahwa keputusan-keputusan di Bab 2 menjadi authoritative reference untuk implementasi BLIPS IFRS 9. Perubahan dari keputusan ini ke depan WAJIB melalui formal Change Request.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Disusun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Manager BLIPS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IT Architect Lead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Direview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Kepala Akuntansi &amp; Pelaporan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Kepala Risk Management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Kepala Treasury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Kepala IT Security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Disetujui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Teknologi Informasi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Keuangan (CFO)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Technical Approver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Sponsor Proyek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--- AKHIR DECISION LOG v1.0 ---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