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i/>
          <w:color w:val="888888"/>
          <w:sz w:val="28"/>
        </w:rPr>
        <w:t>[ LOGO TUGURE ]</w:t>
      </w:r>
    </w:p>
    <w:p/>
    <w:p/>
    <w:p>
      <w:pPr>
        <w:jc w:val="center"/>
      </w:pPr>
      <w:r>
        <w:rPr>
          <w:rFonts w:ascii="Arial" w:hAnsi="Arial"/>
          <w:b/>
          <w:color w:val="1F4E79"/>
          <w:sz w:val="40"/>
        </w:rPr>
        <w:t>FUNCTIONAL SPECIFICATION DOCUMENT</w:t>
      </w:r>
    </w:p>
    <w:p>
      <w:pPr>
        <w:jc w:val="center"/>
      </w:pPr>
      <w:r>
        <w:rPr>
          <w:rFonts w:ascii="Arial" w:hAnsi="Arial"/>
          <w:b/>
          <w:color w:val="1F4E79"/>
          <w:sz w:val="36"/>
        </w:rPr>
        <w:t>BLIPS IFRS 9 — APPENDIX E</w:t>
      </w:r>
    </w:p>
    <w:p/>
    <w:p>
      <w:pPr>
        <w:jc w:val="center"/>
      </w:pPr>
      <w:r>
        <w:rPr>
          <w:rFonts w:ascii="Arial" w:hAnsi="Arial"/>
          <w:i/>
          <w:color w:val="555555"/>
          <w:sz w:val="28"/>
        </w:rPr>
        <w:t>Reporting &amp; Dashboard (25+ Reports)</w:t>
      </w:r>
    </w:p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PT TUGU REASURANSI INDONESIA</w:t>
      </w:r>
    </w:p>
    <w:p>
      <w:pPr>
        <w:jc w:val="center"/>
      </w:pPr>
      <w:r>
        <w:rPr>
          <w:rFonts w:ascii="Arial" w:hAnsi="Arial"/>
          <w:sz w:val="24"/>
        </w:rPr>
        <w:t>(TUGURE)</w:t>
      </w:r>
    </w:p>
    <w:p/>
    <w:p>
      <w:pPr>
        <w:jc w:val="center"/>
      </w:pPr>
      <w:r>
        <w:rPr>
          <w:rFonts w:ascii="Arial" w:hAnsi="Arial"/>
          <w:sz w:val="24"/>
        </w:rPr>
        <w:t>Versi 1.0  •  02 Mei 2026</w:t>
      </w:r>
    </w:p>
    <w:p>
      <w:pPr>
        <w:jc w:val="center"/>
      </w:pPr>
      <w:r>
        <w:rPr>
          <w:rFonts w:ascii="Arial" w:hAnsi="Arial"/>
          <w:i/>
          <w:color w:val="C00000"/>
          <w:sz w:val="22"/>
        </w:rPr>
        <w:t>Status: DRAFT FOR REVIEW</w:t>
      </w:r>
    </w:p>
    <w:p>
      <w:r>
        <w:br w:type="page"/>
      </w:r>
    </w:p>
    <w:p>
      <w:pPr>
        <w:pStyle w:val="Heading1"/>
      </w:pPr>
      <w:r>
        <w:t>Atribut Dokumen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Atribut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Kode Dokumen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FSD-APP-E-2026-001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Versi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DRAFT FOR REVIEW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 Terbit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02 Mei 2026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Reference Upstream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 Master v1.0; BRD v1.0 §8.15; SoW v1.1 §10.3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Modul Tercakup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Reporting &amp; Dashboard (28 reports termasuk 4 NEW dari v1.1 untuk EIR)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BR-IDs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BR-RPT-001 to 025</w:t>
            </w:r>
          </w:p>
        </w:tc>
      </w:tr>
    </w:tbl>
    <w:p/>
    <w:p>
      <w:r>
        <w:br w:type="page"/>
      </w:r>
    </w:p>
    <w:p>
      <w:pPr>
        <w:pStyle w:val="Heading1"/>
      </w:pPr>
      <w:r>
        <w:t>1. Reporting Architecture</w:t>
      </w:r>
    </w:p>
    <w:p>
      <w:pPr>
        <w:pStyle w:val="Heading2"/>
      </w:pPr>
      <w:r>
        <w:t>1.1 Architecture Overview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Reporting BLIPS dilayani oleh dedicated Reporting Service yang mengakses Read-Replica DB untuk avoid impact pada OLTP. Untuk reporting kompleks (mis. Roll-Forward CKPN, Stage Distribution), digunakan materialized views yang di-refresh scheduled.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333333"/>
          <w:sz w:val="18"/>
        </w:rPr>
        <w:t>│                    REPORTING SERVICE              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┌────────────┐  ┌──────────────┐  ┌─────────────────────────┐ │</w:t>
        <w:br/>
      </w:r>
      <w:r>
        <w:rPr>
          <w:rFonts w:ascii="Consolas" w:hAnsi="Consolas"/>
          <w:color w:val="333333"/>
          <w:sz w:val="18"/>
        </w:rPr>
        <w:t>│  │  Query     │  │  Export      │  │  Schedule &amp; Email        │ │</w:t>
        <w:br/>
      </w:r>
      <w:r>
        <w:rPr>
          <w:rFonts w:ascii="Consolas" w:hAnsi="Consolas"/>
          <w:color w:val="333333"/>
          <w:sz w:val="18"/>
        </w:rPr>
        <w:t>│  │  Engine    │  │  Engine      │  │  Service                 │ │</w:t>
        <w:br/>
      </w:r>
      <w:r>
        <w:rPr>
          <w:rFonts w:ascii="Consolas" w:hAnsi="Consolas"/>
          <w:color w:val="333333"/>
          <w:sz w:val="18"/>
        </w:rPr>
        <w:t>│  │ (SQL+API)  │  │ (Excel/PDF)  │  │  (cron + SMTP)           │ │</w:t>
        <w:br/>
      </w:r>
      <w:r>
        <w:rPr>
          <w:rFonts w:ascii="Consolas" w:hAnsi="Consolas"/>
          <w:color w:val="333333"/>
          <w:sz w:val="18"/>
        </w:rPr>
        <w:t>│  └─────┬──────┘  └──────┬───────┘  └────────┬────────────────┘ │</w:t>
        <w:br/>
      </w:r>
      <w:r>
        <w:rPr>
          <w:rFonts w:ascii="Consolas" w:hAnsi="Consolas"/>
          <w:color w:val="333333"/>
          <w:sz w:val="18"/>
        </w:rPr>
        <w:t>│        │                │                    │                   │</w:t>
        <w:br/>
      </w:r>
      <w:r>
        <w:rPr>
          <w:rFonts w:ascii="Consolas" w:hAnsi="Consolas"/>
          <w:color w:val="333333"/>
          <w:sz w:val="18"/>
        </w:rPr>
        <w:t>│        └────────────────┴────────────────────┘                   │</w:t>
        <w:br/>
      </w:r>
      <w:r>
        <w:rPr>
          <w:rFonts w:ascii="Consolas" w:hAnsi="Consolas"/>
          <w:color w:val="333333"/>
          <w:sz w:val="18"/>
        </w:rPr>
        <w:t>│                          │                                        │</w:t>
        <w:br/>
      </w:r>
      <w:r>
        <w:rPr>
          <w:rFonts w:ascii="Consolas" w:hAnsi="Consolas"/>
          <w:color w:val="333333"/>
          <w:sz w:val="18"/>
        </w:rPr>
        <w:t>│        ┌─────────────────▼──────────────────────┐                │</w:t>
        <w:br/>
      </w:r>
      <w:r>
        <w:rPr>
          <w:rFonts w:ascii="Consolas" w:hAnsi="Consolas"/>
          <w:color w:val="333333"/>
          <w:sz w:val="18"/>
        </w:rPr>
        <w:t>│        │  READ-REPLICA DB (async replication)    │                │</w:t>
        <w:br/>
      </w:r>
      <w:r>
        <w:rPr>
          <w:rFonts w:ascii="Consolas" w:hAnsi="Consolas"/>
          <w:color w:val="333333"/>
          <w:sz w:val="18"/>
        </w:rPr>
        <w:t>│        │  + Materialized Views (refreshed daily) │                │</w:t>
        <w:br/>
      </w:r>
      <w:r>
        <w:rPr>
          <w:rFonts w:ascii="Consolas" w:hAnsi="Consolas"/>
          <w:color w:val="333333"/>
          <w:sz w:val="18"/>
        </w:rPr>
        <w:t>│        └─────────────────────────────────────────┘                │</w:t>
        <w:br/>
      </w: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1.2 Materialized Views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Materialized View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Purpose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Refresh Schedule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mvw.posisi_portofolio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Snapshot posisi instrumen aktif harian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Daily 19:00 WIB (post-MTM)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mvw.ckpn_rollforward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Roll-forward CKPN per stage per tipe instrumen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Monthly post hard-close + on-demand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mvw.stage_distribution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Distribusi exposure per stage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Daily 19:00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mvw.concentration_risk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 counterparty/rating/tipe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Daily 19:00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mvw.amortization_summary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Aggregate dari amortization schedule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Daily 19:00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mvw.eir_summary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awal vs current per instrumen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Daily 19:00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mvw.fx_position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Posisi valas per mata uang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Daily 11:00 (post-JISDOR update)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mvw.ecl_summary_period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Aggregate ECL per periode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Monthly post ECL job</w:t>
            </w:r>
          </w:p>
        </w:tc>
      </w:tr>
    </w:tbl>
    <w:p/>
    <w:p>
      <w:pPr>
        <w:pStyle w:val="Heading2"/>
      </w:pPr>
      <w:r>
        <w:t>1.3 Output Format Standards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Format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Use Case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Library/Tool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Web Dashboard (HTML+JS)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Real-time interactive view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React + Recharts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Excel Export (.xlsx)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Manual analysis, regulator submission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Apache POI (Java) atau OpenPyXL (Python) atau ExcelJS (Node)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PDF Export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Snapshot untuk distribution &amp; audit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Apache FOP, iText, atau wkhtmltopdf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CSV Export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Bulk data extract untuk integrasi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Native string streaming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Scheduled Email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Periodic distribution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SMTP + HTML template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API Endpoint (JSON)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Integrasi sistem manajemen risiko / regulator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REST API</w:t>
            </w:r>
          </w:p>
        </w:tc>
      </w:tr>
    </w:tbl>
    <w:p/>
    <w:p>
      <w:pPr>
        <w:pStyle w:val="Heading2"/>
      </w:pPr>
      <w:r>
        <w:t>1.4 Watermark &amp; Metadata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Setiap export Excel/PDF WAJIB include: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Watermark: "GENERATED BY BLIPS — TUGURE — INTERNAL CONFIDENTIAL".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Metadata footer: timestamp, user yang export, periode data, parameter version (untuk re-perform).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Hash checksum (SHA-256) untuk file integrity.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Tracking: setiap export tercatat di doc_access_log + audit trail.</w:t>
      </w:r>
    </w:p>
    <w:p>
      <w:r>
        <w:br w:type="page"/>
      </w:r>
    </w:p>
    <w:p>
      <w:pPr>
        <w:pStyle w:val="Heading1"/>
      </w:pPr>
      <w:r>
        <w:t>2. Report Catalog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Berikut daftar 28 laporan/dashboard yang tersedia, dengan klasifikasi prioritas High/Medium dan periode refresh: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RPT-ID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Laporan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Refresh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Distribution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RPT-01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Daftar Posisi Portofolio (snapshot harian)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Treasury, Risk, Akuntansi, CFO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RPT-02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Mutasi Instrumen per Periode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Treasury, Akuntansi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RPT-03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P&amp;L Investasi (bunga, kupon, dividen, MTM, realized GL)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Monthly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CFO, Akuntansi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RPT-04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Akrual Bunga (per instrumen, harian/bulanan)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Akuntansi, Treasury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RPT-05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ECL Summary (per instrumen, counterparty, stage, periode)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Monthly + on-demand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Risk, CFO, Akuntansi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RPT-06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ECL Detail (formula EAD × PD × LGD × Impact PD)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Monthly + on-demand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Risk, Auditor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RPT-07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Saldo CKPN — Roll-Forward (per stage per tipe)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Monthly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CFO, Akuntansi, Auditor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RPT-08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Stage Distribution Report (matrix transition)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Monthly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Risk, CFO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RPT-09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Counterparty Rating History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Real-time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Risk, Treasury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RPT-10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Underlying Reksadana Snapshot (komposisi)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Monthly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Risk, Treasury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RPT-11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Konsentrasi Risiko (counterparty/rating/tipe)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Risk, ALCO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RPT-12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LPS Coverage Report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Monthly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Risk, CFO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RPT-13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MEV Sensitivity Report (stress test)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Quarterly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Risk, ALCO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RPT-14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Status Periode Dashboard (timeline + tenggat)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Real-time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Akuntansi, CFO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RPT-15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Closing Audit Trail Report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Per-period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Akuntansi, Auditor, CFO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RPT-16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Posisi Valas Dashboard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Treasury, Akuntansi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RPT-17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FX Gain/Loss Report (unrealized vs realized)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Monthly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Akuntansi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RPT-18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FX Rate History Report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Real-time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Akuntansi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RPT-19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Mapping Coverage Dashboard (event aktif vs tidak)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Real-time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Akuntansi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RPT-20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Mapping Validation Report (event gagal balance)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Daily + on-error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Akuntansi (alert)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RPT-21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Mapping Change History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Real-time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Auditor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RPT-22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CoA Cross-Reference Report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On-demand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Akuntansi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RPT-23 (NEW)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Amortization Schedule per Instrumen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Real-time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Akuntansi, Risk, Auditor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RPT-24 (NEW)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EIR Summary Report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Akuntansi, Risk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RPT-25 (NEW)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Roll-Forward Carrying Amount (PSAK 71 §35H)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Monthly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CFO, Akuntansi, Auditor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RPT-26 (NEW)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EIR Re-estimation Log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Real-time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Akuntansi, Auditor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RPT-27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Daily GL Reconciliation Report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Akuntansi, IT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RPT-28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Document Access Log (audit)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Real-time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Auditor, IT Security</w:t>
            </w:r>
          </w:p>
        </w:tc>
      </w:tr>
    </w:tbl>
    <w:p/>
    <w:p>
      <w:r>
        <w:br w:type="page"/>
      </w:r>
    </w:p>
    <w:p>
      <w:pPr>
        <w:pStyle w:val="Heading1"/>
      </w:pPr>
      <w:r>
        <w:t>3. Detail Specifications — Key Reports</w:t>
      </w:r>
    </w:p>
    <w:p>
      <w:pPr>
        <w:pStyle w:val="Heading2"/>
      </w:pPr>
      <w:r>
        <w:t>3.1 RPT-07 — Saldo CKPN Roll-Forward Report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Critical untuk PSAK 71 disclosure §35H. Format: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Tabel A — Roll-Forward CKPN per Periode (per Tipe Instrumen):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Komponen Mutasi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Stage 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Stage 2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Stage 3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Saldo Awal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X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Penambahan: Origination Baru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+X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+X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Migrasi: Stage 1 → Stage 2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+X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Migrasi: Stage 2 → Stage 3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+X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Curing: Stage 2 → Stage 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+X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Curing: Stage 3 → Stage 2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+X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Δ Parameter (PD/LGD/MEV)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±X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±X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±X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±X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Δ EAD (mutasi exposure)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±X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±X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±X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±X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Penghapusan (Write-off)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Pencairan / JT / Penjualan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Saldo Akhir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X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X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Tabel B — Saldo CKPN per Instrumen (Snapshot End-of-Period):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Kode Instrumen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Counterparty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Stage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EAD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ECL FL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Carrying Net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DEP-0001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Bank Mandiri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1.666.666.667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215.625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1.666.451.042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OBL-0001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PT XYZ Tbk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5.075.000.000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6.565.781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5.068.434.219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OBL-0002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PT ABC Tbk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3.000.000.000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187.500.000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2.812.500.000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OBL-0003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PT DEF Tbk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1.000.000.000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450.000.000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550.000.000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Filter &amp; Drill-down: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Per Tipe Instrumen / Sub-Tipe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Per Counterparty / Rating Bucket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Per Stage (1, 2, 3)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Per Klasifikasi PSAK 71 (AC, FVOCI, FVTPL)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Per Periode (bulanan/triwulanan/tahunan)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Drill-down: aggregate → per instrumen → detail event/jurnal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API: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Permission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/api/v1/reports/ckpn-rollforward?periode=&amp;tipe=&amp;stage=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report.ckpn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/api/v1/reports/ckpn-snapshot?periode=&amp;filter=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report.ckpn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/api/v1/reports/ckpn-rollforward/export?format=xlsx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report.export</w:t>
            </w:r>
          </w:p>
        </w:tc>
      </w:tr>
    </w:tbl>
    <w:p/>
    <w:p>
      <w:r>
        <w:br w:type="page"/>
      </w:r>
    </w:p>
    <w:p>
      <w:pPr>
        <w:pStyle w:val="Heading2"/>
      </w:pPr>
      <w:r>
        <w:t>3.2 RPT-23 (NEW) — Amortization Schedule per Instrumen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Untuk setiap instrumen AC/FVOCI utang, tampilkan schedule amortisasi penuh.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Format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Periode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Tanggal Posting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Carrying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Cash Inflow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Pendapatan EIR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Amortisasi P/D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Closing Carrying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Stage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30/06/2026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5.080.000.000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125.000.000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121.154.001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(3.845.999)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5.076.154.001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POSTED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31/12/2026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5.076.154.001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125.000.000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121.062.286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(3.937.714)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5.072.216.287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POSTED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30/06/2027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5.072.216.287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125.000.000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120.968.385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(4.031.615)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5.068.184.672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PROYEKSI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...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...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...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...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...</w:t>
            </w:r>
          </w:p>
        </w:tc>
        <w:tc>
          <w:tcPr>
            <w:tcW w:type="dxa" w:w="10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...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...</w:t>
            </w:r>
          </w:p>
        </w:tc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...</w:t>
            </w:r>
          </w:p>
        </w:tc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...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Header informasi (di atas tabel):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Kode Instrumen, Nama, Counterparty, Klasifikasi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Carrying Awal, EIR Awal, Premium/Diskonto, Biaya Transaksi Capitalized</w:t>
      </w:r>
    </w:p>
    <w:p>
      <w:pPr>
        <w:pStyle w:val="ListBullet"/>
        <w:jc w:val="both"/>
      </w:pPr>
      <w:r>
        <w:rPr>
          <w:rFonts w:ascii="Arial" w:hAnsi="Arial"/>
          <w:sz w:val="22"/>
        </w:rPr>
        <w:t>EIR Annualized, Day Count Convention, Frekuensi Amortisasi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Re-estimation history (jika ada)</w:t>
      </w:r>
    </w:p>
    <w:p>
      <w:r>
        <w:br w:type="page"/>
      </w:r>
    </w:p>
    <w:p>
      <w:pPr>
        <w:pStyle w:val="Heading2"/>
      </w:pPr>
      <w:r>
        <w:t>3.3 RPT-25 (NEW) — Roll-Forward Carrying Amount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Memenuhi PSAK 71 §35H disclosure untuk movement carrying amount.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Format (per Periode, per Tipe Instrumen):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Komponen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AC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FVOCI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Saldo Awal Carrying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X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X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X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Penempatan Baru (+)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+X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+X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+X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Pelunasan Pokok / JT (−)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Penjualan / Pencairan (−)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Amortisasi Premium (−)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Amortisasi Diskonto (+)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+X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+X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+X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MTM (+/−) untuk FVOCI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±X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±X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FX Revaluation (P&amp;L)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±X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±X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±X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Reklasifikasi Masuk (+)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+X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+X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+X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Reklasifikasi Keluar (−)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CKPN Charge (−)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−X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Saldo Akhir Carrying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X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X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X</w:t>
            </w:r>
          </w:p>
        </w:tc>
      </w:tr>
    </w:tbl>
    <w:p/>
    <w:p>
      <w:r>
        <w:br w:type="page"/>
      </w:r>
    </w:p>
    <w:p>
      <w:pPr>
        <w:pStyle w:val="Heading2"/>
      </w:pPr>
      <w:r>
        <w:t>3.4 RPT-15 — Closing Audit Trail Report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Per periode, daftar semua adjustment journal entry dibuat pada SOFT_CLOSED &amp; REOPENED.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Sample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PRD-2026-01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 Saat Adjustment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SOFT_CLOSED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No Jurnal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JNL-2026-01-99012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 Posting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07/02/2026 14:30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Event Code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PERIODE_ADJUSTMENT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Maker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akuntansi.maker (akuntansi)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Approver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fc.controller (Finance Controller)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Alasan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Koreksi mapping kupon obligasi PT XYZ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Total Debit / Kredit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 5.000.000 / Rp 5.000.000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Dokumen Pendukung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memo_adjustment_OBL_XYZ_07Feb2026.pdf (SHA-256: ...)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Sebelum (Snapshot)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Akrual Kupon: Rp 120.000.000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Setelah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Akrual Kupon: Rp 125.000.000</w:t>
            </w:r>
          </w:p>
        </w:tc>
      </w:tr>
    </w:tbl>
    <w:p/>
    <w:p>
      <w:r>
        <w:br w:type="page"/>
      </w:r>
    </w:p>
    <w:p>
      <w:pPr>
        <w:pStyle w:val="Heading2"/>
      </w:pPr>
      <w:r>
        <w:t>3.5 RPT-08 — Stage Distribution Report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Tabel A — Distribution per Stage: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Stage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Jumlah Instrumen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EAD (IDR)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% EAD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ECL FL (IDR)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% ECL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Stage 1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850.000.000.000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85,0%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150.000.000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Stage 2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15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120.000.000.000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12,0%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200.000.000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40%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Stage 3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30.000.000.000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3,0%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150.000.000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140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1.000.000.000.000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100,0%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500.000.000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Tabel B — Transition Matrix (Period over Period):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Dari \ Ke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Stage 1 (eop)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Stage 2 (eop)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Stage 3 (eop)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Closure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Stage 1 (bop)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115 (95.8%)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 (2.5%)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 (1.7%)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Stage 2 (bop)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(curing)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 (80%)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(8.3%)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Stage 3 (bop)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(curing)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 (75%)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New (origination)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</w:tr>
    </w:tbl>
    <w:p/>
    <w:p>
      <w:r>
        <w:br w:type="page"/>
      </w:r>
    </w:p>
    <w:p>
      <w:pPr>
        <w:pStyle w:val="Heading2"/>
      </w:pPr>
      <w:r>
        <w:t>3.6 RPT-13 — MEV Sensitivity Report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Stress test: dampak perubahan komponen MEV terhadap ECL.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MEV Component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Baseline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Shock Down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Shock Up</w:t>
            </w:r>
          </w:p>
        </w:tc>
        <w:tc>
          <w:tcPr>
            <w:tcW w:type="dxa" w:w="221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Δ ECL FL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GDP Growth (% YoY)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5,0%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2,0%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8,0%</w:t>
            </w:r>
          </w:p>
        </w:tc>
        <w:tc>
          <w:tcPr>
            <w:tcW w:type="dxa" w:w="221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+/− Rp 50 jt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Inflation (CPI YoY)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3,5%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1,5%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6,0%</w:t>
            </w:r>
          </w:p>
        </w:tc>
        <w:tc>
          <w:tcPr>
            <w:tcW w:type="dxa" w:w="221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+/− Rp 30 jt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BI Rate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5,75%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4,00%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7,50%</w:t>
            </w:r>
          </w:p>
        </w:tc>
        <w:tc>
          <w:tcPr>
            <w:tcW w:type="dxa" w:w="221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+/− Rp 25 jt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USD/IDR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16.000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14.500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17.500</w:t>
            </w:r>
          </w:p>
        </w:tc>
        <w:tc>
          <w:tcPr>
            <w:tcW w:type="dxa" w:w="221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+/− Rp 200 jt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IHSG Growth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+10%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−15%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+25%</w:t>
            </w:r>
          </w:p>
        </w:tc>
        <w:tc>
          <w:tcPr>
            <w:tcW w:type="dxa" w:w="221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+/− Rp 100 jt (RDN saham)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TOTAL Stress Scenario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Severe</w:t>
            </w:r>
          </w:p>
        </w:tc>
        <w:tc>
          <w:tcPr>
            <w:tcW w:type="dxa" w:w="1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Mild</w:t>
            </w:r>
          </w:p>
        </w:tc>
        <w:tc>
          <w:tcPr>
            <w:tcW w:type="dxa" w:w="221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Δ ECL: −Rp 50 jt to +Rp 350 jt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/>
          <w:sz w:val="22"/>
        </w:rPr>
        <w:t>Output mencakup heat-map per MEV component → Stage migration → ECL impact.</w:t>
      </w:r>
    </w:p>
    <w:p>
      <w:r>
        <w:br w:type="page"/>
      </w:r>
    </w:p>
    <w:p>
      <w:pPr>
        <w:pStyle w:val="Heading1"/>
      </w:pPr>
      <w:r>
        <w:t>4. Scheduled Reporting (Email Distribution)</w:t>
      </w:r>
    </w:p>
    <w:p>
      <w:pPr>
        <w:pStyle w:val="Heading2"/>
      </w:pPr>
      <w:r>
        <w:t>4.1 Schedule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Frekuensi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Reports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Distribusi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Format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Daily 19:00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Daftar Posisi, Mutasi, MEV Sensitivity (jika anomaly)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Treasury, Risk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PDF + Excel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Weekly Senin 08:00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Stage Distribution, Konsentrasi Risiko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Risk, ALCO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PDF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Monthly H+5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P&amp;L Investasi, ECL Summary, FX Gain/Loss, Closing Audit Trail (preliminary)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CFO, Direksi, Akuntansi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PDF + Excel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Monthly H+15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Saldo CKPN Roll-Forward, Roll-Forward Carrying, Stage Distribution Final, Mapping Validation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CFO, Auditor, Akuntansi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PDF + Excel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Quarterly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MEV Sensitivity Stress Test, EIR Summary, Konsentrasi Risiko Triwulanan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ALCO, Komite Risiko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PDF (executive summary)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Annual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Disclosure-ready reports (PSAK 71 §35-46)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External Auditor, Direksi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PDF + Excel</w:t>
            </w:r>
          </w:p>
        </w:tc>
      </w:tr>
    </w:tbl>
    <w:p/>
    <w:p>
      <w:pPr>
        <w:pStyle w:val="Heading2"/>
      </w:pPr>
      <w:r>
        <w:t>4.2 Email Template Standards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Subject format: [BLIPS] {Report Name} — {Periode} — {Status}</w:t>
      </w:r>
    </w:p>
    <w:p>
      <w:pPr>
        <w:pStyle w:val="ListBullet"/>
        <w:jc w:val="both"/>
      </w:pPr>
      <w:r>
        <w:rPr>
          <w:rFonts w:ascii="Arial" w:hAnsi="Arial"/>
          <w:sz w:val="22"/>
        </w:rPr>
        <w:t>Body: brief summary (3-5 highlights), embedded image atau link ke dashboard, attachment.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Footer: 'Dokumen ini bersifat INTERNAL CONFIDENTIAL. Pertanyaan: blips-support@tugu-re.com'.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Bounce handling: failed delivery dilog di sys_notification_log; alert IT bila bounce &gt; 5%.</w:t>
      </w:r>
    </w:p>
    <w:p>
      <w:r>
        <w:br w:type="page"/>
      </w:r>
    </w:p>
    <w:p>
      <w:pPr>
        <w:pStyle w:val="Heading1"/>
      </w:pPr>
      <w:r>
        <w:t>5. Dashboard UI (Web Real-Time)</w:t>
      </w:r>
    </w:p>
    <w:p>
      <w:pPr>
        <w:pStyle w:val="Heading2"/>
      </w:pPr>
      <w:r>
        <w:t>5.1 Dashboard per Role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Treasury Dashboard: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Posisi portofolio per tipe instrumen (pie chart).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Mutasi terkini (table 10 entries).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Akrual harian (line chart 30 hari).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Notifikasi: rating downgrade, periode closing, JT instrumen.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Risk Dashboard: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ECL Summary per stage + per tipe (stacked bar).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Konsentrasi per rating + counterparty (heatmap).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Stage migration alerts (table).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Counterparty rating changes (timeline).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MEV current values (gauge).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Akuntansi Dashboard: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Status periode buku (timeline + warna).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Mapping coverage (event aktif vs tidak).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Mapping validation (jika ada error).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GL reconciliation status (today, last 7 days).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FX rate today + history.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CFO/Direksi Dashboard: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Total portofolio value.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P&amp;L investasi YTD.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ECL FL total + delta vs prior period.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Stage distribution (current).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Konsentrasi risiko top 10.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Closing milestone tracker.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Auditor Dashboard (Read-Only):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Search: navigate by entity/transaction/user/date.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Audit trail viewer per entity.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Document access log.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Re-perform calculation interface.</w:t>
      </w:r>
    </w:p>
    <w:p>
      <w:pPr>
        <w:pStyle w:val="Heading2"/>
      </w:pPr>
      <w:r>
        <w:t>5.2 Real-Time Refresh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Dashboard refresh strategy: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Critical metrics (saldo, posisi): refresh every 5 menit via polling atau WebSocket.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Aggregated views (CKPN, Stage Distribution): refresh on materialized view refresh (every 30 menit untuk hot data, daily untuk full).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Notifications: push real-time via SSE/WebSocket.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User-triggered refresh button untuk force update.</w:t>
      </w:r>
    </w:p>
    <w:p>
      <w:r>
        <w:br w:type="page"/>
      </w:r>
    </w:p>
    <w:p>
      <w:pPr>
        <w:pStyle w:val="Heading1"/>
      </w:pPr>
      <w:r>
        <w:t>6. API Endpoints (Reporting)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Permission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/api/v1/reports/posisi-portofolio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report.posisi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RPT-01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/api/v1/reports/mutasi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report.mutasi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RPT-02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/api/v1/reports/pl-investasi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report.pl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RPT-03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/api/v1/reports/akrual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report.akrual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RPT-04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/api/v1/reports/ecl-summary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report.ecl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RPT-05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/api/v1/reports/ecl-detail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report.ecl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RPT-06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/api/v1/reports/ckpn-rollforward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report.ckpn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RPT-07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/api/v1/reports/stage-distribution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report.stage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RPT-08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/api/v1/reports/rating-history/{counterparty_id}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report.rating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RPT-09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/api/v1/reports/underlying-reksadana/{instrumen_id}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report.lookthrough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RPT-10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/api/v1/reports/konsentrasi-risiko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report.konsentrasi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RPT-11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/api/v1/reports/lps-coverage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report.lps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RPT-12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/api/v1/reports/mev-sensitivity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report.mev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RPT-13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/api/v1/reports/status-periode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report.periode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RPT-14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/api/v1/reports/closing-audit-trail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report.audit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RPT-15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/api/v1/reports/posisi-valas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report.fx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RPT-16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/api/v1/reports/fx-gainloss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report.fx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RPT-17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/api/v1/reports/fx-rate-history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report.fx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RPT-18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/api/v1/reports/mapping-coverage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report.mapping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RPT-19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/api/v1/reports/mapping-validation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report.mapping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RPT-20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/api/v1/reports/mapping-change-history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report.mapping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RPT-21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/api/v1/reports/coa-cross-reference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report.coa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RPT-22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/api/v1/reports/amortization-schedule/{instrumen_id}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report.eir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RPT-23 (NEW)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/api/v1/reports/eir-summary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report.eir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RPT-24 (NEW)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/api/v1/reports/carrying-rollforward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report.carrying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RPT-25 (NEW)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/api/v1/reports/eir-reestimation-log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report.eir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RPT-26 (NEW)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/api/v1/reports/gl-reconciliation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report.reconciliation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RPT-27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/api/v1/reports/document-access-log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report.audit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RPT-28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/api/v1/reports/{rpt_id}/export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report.export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Export to Excel/PDF/CSV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/api/v1/reports/{rpt_id}/schedule</w:t>
            </w:r>
          </w:p>
        </w:tc>
        <w:tc>
          <w:tcPr>
            <w:tcW w:type="dxa" w:w="243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report.schedule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Configure scheduled email</w:t>
            </w:r>
          </w:p>
        </w:tc>
      </w:tr>
    </w:tbl>
    <w:p/>
    <w:p>
      <w:r>
        <w:br w:type="page"/>
      </w:r>
    </w:p>
    <w:p>
      <w:pPr>
        <w:pStyle w:val="Heading1"/>
      </w:pPr>
      <w:r>
        <w:t>7. Performance &amp; Query Optimization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Reporting performance targets: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Standard report ≤ 10 detik (P95) untuk 1.000 instrumen.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Roll-forward 5-tahun history ≤ 30 detik (P95).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Dashboard refresh ≤ 5 detik (P95).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Excel export ≤ 60 detik untuk 10.000 rows.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Optimization strategies: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Materialized views untuk aggregate (refresh scheduled).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Read-replica DB untuk reporting queries (avoid OLTP impact).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Indexing: composite index pada (periode_id, instrumen_id), (counterparty_id, evaluation_date), dll.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Partitioning: tabel transaksi/audit by date range.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Caching: Redis untuk lookup dimensions yang frequent.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Pagination/streaming untuk large result sets.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Async export: untuk large export, generate file di background, notify user via email/in-app saat ready.</w:t>
      </w:r>
    </w:p>
    <w:p>
      <w:r>
        <w:br w:type="page"/>
      </w:r>
    </w:p>
    <w:p>
      <w:pPr>
        <w:pStyle w:val="Heading1"/>
      </w:pPr>
      <w:r>
        <w:t>Sign-Off Page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Appendix E — Reporting &amp; Dashboard.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Disusun oleh: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Solution Designer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Lead BI/Reporting Analyst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Disetujui oleh: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Direktur IT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Direktur Keuangan (CFO)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/>
          <w:sz w:val="22"/>
        </w:rPr>
        <w:t>--- AKHIR APPENDIX E ---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