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1BA2F">
      <w:pPr>
        <w:spacing w:line="480" w:lineRule="exact"/>
        <w:jc w:val="center"/>
        <w:rPr>
          <w:rFonts w:hint="eastAsia" w:ascii="黑体" w:hAnsi="黑体" w:eastAsia="黑体" w:cs="黑体"/>
          <w:b w:val="0"/>
          <w:bCs w:val="0"/>
          <w:sz w:val="48"/>
          <w:szCs w:val="48"/>
        </w:rPr>
      </w:pPr>
      <w:bookmarkStart w:id="91" w:name="_GoBack"/>
      <w:r>
        <w:rPr>
          <w:rFonts w:hint="eastAsia" w:ascii="黑体" w:hAnsi="黑体" w:eastAsia="黑体" w:cs="黑体"/>
          <w:b w:val="0"/>
          <w:bCs w:val="0"/>
          <w:sz w:val="48"/>
          <w:szCs w:val="48"/>
        </w:rPr>
        <w:t>财赋思(Cái Fù Sī)-你的AI金融心智教练</w:t>
      </w:r>
    </w:p>
    <w:p w14:paraId="5641D368">
      <w:pPr>
        <w:spacing w:line="720" w:lineRule="auto"/>
        <w:jc w:val="center"/>
        <w:rPr>
          <w:rFonts w:hint="eastAsia" w:ascii="黑体" w:hAnsi="黑体" w:eastAsia="黑体" w:cs="黑体"/>
          <w:b w:val="0"/>
          <w:bCs w:val="0"/>
          <w:sz w:val="36"/>
          <w:szCs w:val="36"/>
        </w:rPr>
      </w:pPr>
      <w:r>
        <w:rPr>
          <w:rFonts w:hint="eastAsia" w:ascii="黑体" w:hAnsi="黑体" w:eastAsia="黑体" w:cs="黑体"/>
          <w:b w:val="0"/>
          <w:bCs w:val="0"/>
          <w:sz w:val="36"/>
          <w:szCs w:val="36"/>
        </w:rPr>
        <w:t>项目计划书</w:t>
      </w:r>
    </w:p>
    <w:p w14:paraId="215858C9">
      <w:pPr>
        <w:spacing w:line="720" w:lineRule="auto"/>
        <w:jc w:val="center"/>
        <w:rPr>
          <w:rFonts w:hint="eastAsia" w:ascii="黑体" w:hAnsi="黑体" w:eastAsia="黑体" w:cs="黑体"/>
          <w:b w:val="0"/>
          <w:bCs w:val="0"/>
          <w:sz w:val="36"/>
          <w:szCs w:val="36"/>
        </w:rPr>
      </w:pPr>
      <w:r>
        <w:rPr>
          <w:rFonts w:hint="eastAsia" w:ascii="黑体" w:hAnsi="黑体" w:eastAsia="黑体" w:cs="黑体"/>
          <w:b w:val="0"/>
          <w:bCs w:val="0"/>
          <w:sz w:val="36"/>
          <w:szCs w:val="36"/>
          <w:lang w:eastAsia="zh-CN"/>
        </w:rPr>
        <w:drawing>
          <wp:inline distT="0" distB="0" distL="114300" distR="114300">
            <wp:extent cx="5266690" cy="5266690"/>
            <wp:effectExtent l="0" t="0" r="6350" b="6350"/>
            <wp:docPr id="5" name="图片 5" descr="C:/Users/34901/Desktop/c0c82b77f395f4cf423130d134ca5c5.pngc0c82b77f395f4cf423130d134ca5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/Users/34901/Desktop/c0c82b77f395f4cf423130d134ca5c5.pngc0c82b77f395f4cf423130d134ca5c5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BA7D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29903662">
            <w:pPr>
              <w:spacing w:line="720" w:lineRule="auto"/>
              <w:jc w:val="center"/>
              <w:rPr>
                <w:rFonts w:hint="default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  <w:t>团队队长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1869AA16">
            <w:pPr>
              <w:spacing w:line="720" w:lineRule="auto"/>
              <w:jc w:val="center"/>
              <w:rPr>
                <w:rFonts w:hint="default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  <w:t>代宇鹏</w:t>
            </w:r>
          </w:p>
        </w:tc>
      </w:tr>
      <w:tr w14:paraId="220BC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1B792B1C">
            <w:pPr>
              <w:spacing w:line="720" w:lineRule="auto"/>
              <w:jc w:val="center"/>
              <w:rPr>
                <w:rFonts w:hint="default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  <w:t>队员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3C8AF796">
            <w:pPr>
              <w:spacing w:line="720" w:lineRule="auto"/>
              <w:jc w:val="center"/>
              <w:rPr>
                <w:rFonts w:hint="default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  <w:t>王正熙</w:t>
            </w:r>
            <w:r>
              <w:rPr>
                <w:rFonts w:hint="eastAsia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  <w:t>王新宇</w:t>
            </w:r>
            <w:r>
              <w:rPr>
                <w:rFonts w:hint="eastAsia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  <w:t xml:space="preserve">韩乐  </w:t>
            </w:r>
          </w:p>
          <w:p w14:paraId="3DD57F4D">
            <w:pPr>
              <w:spacing w:line="720" w:lineRule="auto"/>
              <w:jc w:val="center"/>
              <w:rPr>
                <w:rFonts w:hint="default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  <w:t>李善玲</w:t>
            </w:r>
            <w:r>
              <w:rPr>
                <w:rFonts w:hint="eastAsia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黑体" w:hAnsi="黑体" w:eastAsia="黑体" w:cs="黑体"/>
                <w:b w:val="0"/>
                <w:bCs w:val="0"/>
                <w:sz w:val="36"/>
                <w:szCs w:val="36"/>
                <w:vertAlign w:val="baseline"/>
                <w:lang w:val="en-US" w:eastAsia="zh-CN"/>
              </w:rPr>
              <w:t xml:space="preserve">张凯淞 姚禹  </w:t>
            </w:r>
          </w:p>
        </w:tc>
      </w:tr>
    </w:tbl>
    <w:p w14:paraId="33198D57">
      <w:pPr>
        <w:tabs>
          <w:tab w:val="left" w:pos="312"/>
        </w:tabs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6D81E1CB">
      <w:pPr>
        <w:tabs>
          <w:tab w:val="left" w:pos="312"/>
        </w:tabs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3D905E98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</w:pPr>
    </w:p>
    <w:p w14:paraId="3635AB12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</w:pPr>
    </w:p>
    <w:p w14:paraId="57CA6496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theme="minorBidi"/>
          <w:kern w:val="2"/>
          <w:sz w:val="30"/>
          <w:szCs w:val="22"/>
          <w:lang w:val="en-US" w:eastAsia="zh-CN" w:bidi="ar-SA"/>
        </w:rPr>
      </w:pPr>
    </w:p>
    <w:sdt>
      <w:sdtPr>
        <w:rPr>
          <w:rFonts w:ascii="宋体" w:hAnsi="宋体" w:eastAsia="宋体" w:cstheme="minorBidi"/>
          <w:kern w:val="2"/>
          <w:sz w:val="30"/>
          <w:szCs w:val="22"/>
          <w:lang w:val="en-US" w:eastAsia="zh-CN" w:bidi="ar-SA"/>
        </w:rPr>
        <w:id w:val="147465802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Cs/>
          <w:kern w:val="2"/>
          <w:sz w:val="21"/>
          <w:szCs w:val="24"/>
          <w:lang w:val="en-US" w:eastAsia="zh-CN" w:bidi="ar-SA"/>
        </w:rPr>
      </w:sdtEndPr>
      <w:sdtContent>
        <w:p w14:paraId="61A4613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0"/>
            </w:rPr>
          </w:pPr>
          <w:r>
            <w:rPr>
              <w:rFonts w:ascii="宋体" w:hAnsi="宋体" w:eastAsia="宋体"/>
              <w:sz w:val="30"/>
            </w:rPr>
            <w:t>目录</w:t>
          </w:r>
        </w:p>
        <w:p w14:paraId="5A2F3C3B">
          <w:pPr>
            <w:pStyle w:val="15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_Toc27488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 w:val="30"/>
              <w:szCs w:val="28"/>
            </w:rPr>
            <w:t>第一章．项目或企业背景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_Toc27488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4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0A579F2F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_Toc16903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 w:val="30"/>
              <w:szCs w:val="24"/>
            </w:rPr>
            <w:t>1.1技术风险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_Toc16903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4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7BF04ADA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_Toc8954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 w:val="30"/>
              <w:szCs w:val="24"/>
            </w:rPr>
            <w:t>1.2市场风险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_Toc8954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4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66DA3225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_Toc24991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 w:val="30"/>
              <w:szCs w:val="24"/>
            </w:rPr>
            <w:t>1.3资金风险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_Toc24991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4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581D3D92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_Toc4264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 w:val="30"/>
              <w:szCs w:val="24"/>
            </w:rPr>
            <w:t>1.4政策与法规风险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_Toc4264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4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5EFCAFFB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_Toc21587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 w:val="30"/>
              <w:szCs w:val="24"/>
            </w:rPr>
            <w:t>1.5合规性风险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_Toc21587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4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03F0E6B3">
          <w:pPr>
            <w:pStyle w:val="15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_Toc8689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sz w:val="30"/>
              <w:szCs w:val="28"/>
            </w:rPr>
            <w:t>第二章．项目简介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_Toc8689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4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016E4919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_Toc3692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bCs w:val="0"/>
              <w:sz w:val="30"/>
              <w:szCs w:val="24"/>
            </w:rPr>
            <w:t>2.1 项目概述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_Toc3692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4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5B7C9BEC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_Toc11113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2.2 项目服务及业务简介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_Toc11113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5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10128965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_Toc17878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2.3发展规划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_Toc17878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6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7B967CAA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_Toc6225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3.1市场现状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_Toc6225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6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4FBB12DE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_Toc6603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3.2市场前景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_Toc6603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6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32F6B87F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_Toc20492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3.3目标市场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_Toc20492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7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26131641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_Toc19691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3.4市场营销策略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_Toc19691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7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65DD6D3D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_Toc18526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3.5竞争分析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_Toc18526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7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1DE06C8A">
          <w:pPr>
            <w:pStyle w:val="15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_Toc19711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第四章 运营分析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_Toc19711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8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67BAAAC7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_Toc12954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4.1 生产组织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_Toc12954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8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7F2BF3A5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_Toc24064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4.2 质量控制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_Toc24064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8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75FFA5B7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_Toc25371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4.3 组织管理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_Toc25371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9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6648233D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_Toc10770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4.4 人事管理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_Toc10770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9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4AFB937A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_Toc19911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4.5 资源管理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_Toc19911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9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67EAD901">
          <w:pPr>
            <w:pStyle w:val="15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_Toc18063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第五章 财务分析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_Toc18063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10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037F7774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_Toc1899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5.1 投融资分析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_Toc1899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10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79471430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_Toc32360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5.2 财务预算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_Toc32360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10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1C097E29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_Toc31536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5.3 财务分析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_Toc31536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11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7FF7FB58">
          <w:pPr>
            <w:pStyle w:val="15"/>
            <w:tabs>
              <w:tab w:val="right" w:pos="3200"/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_Toc29777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第六章</w:t>
          </w:r>
          <w:r>
            <w:rPr>
              <w:rFonts w:hint="eastAsia" w:ascii="宋体" w:hAnsi="宋体" w:eastAsia="宋体" w:cs="宋体"/>
              <w:bCs/>
              <w:sz w:val="30"/>
              <w:szCs w:val="24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风险分析</w:t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ab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_Toc29777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11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5485430E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_Toc15479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6.1风险识别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_Toc15479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11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77E6A3FF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_Toc922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6.2风险防范及措施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_Toc922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12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1318F855">
          <w:pPr>
            <w:pStyle w:val="17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_Toc24801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6.3风险资本退出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_Toc24801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12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7D4AE495">
          <w:pPr>
            <w:pStyle w:val="15"/>
            <w:tabs>
              <w:tab w:val="right" w:leader="dot" w:pos="8306"/>
            </w:tabs>
            <w:rPr>
              <w:sz w:val="30"/>
            </w:r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instrText xml:space="preserve"> HYPERLINK \l _Toc15534 </w:instrText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30"/>
              <w:szCs w:val="24"/>
            </w:rPr>
            <w:t>第七章 团队介绍</w:t>
          </w:r>
          <w:r>
            <w:rPr>
              <w:sz w:val="30"/>
            </w:rPr>
            <w:tab/>
          </w:r>
          <w:r>
            <w:rPr>
              <w:sz w:val="30"/>
            </w:rPr>
            <w:fldChar w:fldCharType="begin"/>
          </w:r>
          <w:r>
            <w:rPr>
              <w:sz w:val="30"/>
            </w:rPr>
            <w:instrText xml:space="preserve"> PAGEREF _Toc15534 \h </w:instrText>
          </w:r>
          <w:r>
            <w:rPr>
              <w:sz w:val="30"/>
            </w:rPr>
            <w:fldChar w:fldCharType="separate"/>
          </w:r>
          <w:r>
            <w:rPr>
              <w:sz w:val="30"/>
            </w:rPr>
            <w:t>12</w:t>
          </w:r>
          <w:r>
            <w:rPr>
              <w:sz w:val="30"/>
            </w:rPr>
            <w:fldChar w:fldCharType="end"/>
          </w: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  <w:p w14:paraId="0767D415">
          <w:pPr>
            <w:tabs>
              <w:tab w:val="left" w:pos="312"/>
            </w:tabs>
            <w:rPr>
              <w:rFonts w:hint="eastAsia" w:ascii="宋体" w:hAnsi="宋体" w:eastAsia="宋体" w:cs="宋体"/>
              <w:sz w:val="24"/>
              <w:szCs w:val="24"/>
            </w:rPr>
            <w:sectPr>
              <w:headerReference r:id="rId3" w:type="default"/>
              <w:footerReference r:id="rId4" w:type="default"/>
              <w:pgSz w:w="11906" w:h="16838"/>
              <w:pgMar w:top="1440" w:right="1800" w:bottom="1440" w:left="1800" w:header="851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  <w:bCs/>
              <w:kern w:val="2"/>
              <w:sz w:val="30"/>
              <w:szCs w:val="24"/>
              <w:lang w:val="en-US" w:eastAsia="zh-CN" w:bidi="ar-SA"/>
            </w:rPr>
            <w:fldChar w:fldCharType="end"/>
          </w:r>
        </w:p>
      </w:sdtContent>
    </w:sdt>
    <w:p w14:paraId="761D50EA">
      <w:pPr>
        <w:pStyle w:val="2"/>
        <w:rPr>
          <w:rFonts w:hint="eastAsia" w:ascii="黑体" w:hAnsi="黑体" w:eastAsia="黑体" w:cs="黑体"/>
          <w:b w:val="0"/>
          <w:bCs w:val="0"/>
          <w:color w:val="auto"/>
          <w:sz w:val="28"/>
          <w:szCs w:val="28"/>
        </w:rPr>
      </w:pPr>
      <w:bookmarkStart w:id="0" w:name="_Toc199956270"/>
      <w:bookmarkStart w:id="1" w:name="_Toc27488"/>
      <w:r>
        <w:rPr>
          <w:rFonts w:hint="eastAsia" w:ascii="黑体" w:hAnsi="黑体" w:eastAsia="黑体" w:cs="黑体"/>
          <w:b w:val="0"/>
          <w:bCs w:val="0"/>
          <w:color w:val="auto"/>
          <w:sz w:val="28"/>
          <w:szCs w:val="28"/>
        </w:rPr>
        <w:t>第一章．项目或企业背景</w:t>
      </w:r>
      <w:bookmarkEnd w:id="0"/>
      <w:bookmarkEnd w:id="1"/>
    </w:p>
    <w:p w14:paraId="0A96AD73">
      <w:pPr>
        <w:pStyle w:val="3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bookmarkStart w:id="2" w:name="_Toc16903"/>
      <w:bookmarkStart w:id="3" w:name="_Toc199956271"/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1.1技术风险</w:t>
      </w:r>
      <w:bookmarkEnd w:id="2"/>
      <w:bookmarkEnd w:id="3"/>
    </w:p>
    <w:p w14:paraId="01860BF8">
      <w:pPr>
        <w:tabs>
          <w:tab w:val="left" w:pos="312"/>
        </w:tabs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依赖第三方大语言模型API可能存在回答专业性不足、自然度欠佳和响应延迟等问题，导致用户体验感降低。我们的解决措施主要有对LLM接口进行测试，建立应急方案。同时优化提示词，对于高频问题，比如基础的理财知识，开发本地知识库，减少对API的实时依赖，提升响应速度。</w:t>
      </w:r>
    </w:p>
    <w:p w14:paraId="6D3517CE">
      <w:pPr>
        <w:pStyle w:val="3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bookmarkStart w:id="4" w:name="_Toc8954"/>
      <w:bookmarkStart w:id="5" w:name="_Toc199956272"/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1.2市场风险</w:t>
      </w:r>
      <w:bookmarkEnd w:id="4"/>
      <w:bookmarkEnd w:id="5"/>
    </w:p>
    <w:p w14:paraId="7D8380D7">
      <w:pPr>
        <w:tabs>
          <w:tab w:val="left" w:pos="312"/>
        </w:tabs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目标用户可能对 “金融心智”的 概念理解较模糊，更关注短期收益而非长期的认知改善，导致用户获取成本高、留存率较低。可以通过故事化内容和游戏化挑战，吸引用户的兴趣，降低用户理解门槛，进而强化“心智提升→行为改变→财务改善”的价值链路。</w:t>
      </w:r>
    </w:p>
    <w:p w14:paraId="567A751E">
      <w:pPr>
        <w:pStyle w:val="3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bookmarkStart w:id="6" w:name="_Toc199956273"/>
      <w:bookmarkStart w:id="7" w:name="_Toc24991"/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1.3资金风险</w:t>
      </w:r>
      <w:bookmarkEnd w:id="6"/>
      <w:bookmarkEnd w:id="7"/>
    </w:p>
    <w:p w14:paraId="4AEB883D">
      <w:pPr>
        <w:tabs>
          <w:tab w:val="left" w:pos="312"/>
        </w:tabs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需投入资金用于AI技术开发、金融内容生产、用户运营以及合规性建设等方面，但存在资金来源单一、回报周期长、市场波动影响盈利预期的风险。我们提供譬如建立多元化资金支持体系、提供投资和融资渠道，从而吸引社会资本的参与，并加强风险评估和管理的方法。</w:t>
      </w:r>
    </w:p>
    <w:p w14:paraId="586F420C">
      <w:pPr>
        <w:pStyle w:val="3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8" w:name="_Toc4264"/>
      <w:bookmarkStart w:id="9" w:name="_Toc199956274"/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1.4政策与法规风险</w:t>
      </w:r>
      <w:bookmarkEnd w:id="8"/>
      <w:bookmarkEnd w:id="9"/>
    </w:p>
    <w:p w14:paraId="15AFE179">
      <w:pPr>
        <w:tabs>
          <w:tab w:val="left" w:pos="312"/>
        </w:tabs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的金融数据、对话记录等敏感信息可能面临着泄露的风险，影响项目合规性。解决措施包括采用加密传输和数据库加密的方式，前端避免存储敏感数据，后端部署防火墙和入侵检测系统。同时邀请法律专业人员进行数据合规性审查，确保符合隐私法规的要求。</w:t>
      </w:r>
    </w:p>
    <w:p w14:paraId="681F94AB">
      <w:pPr>
        <w:pStyle w:val="3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bookmarkStart w:id="10" w:name="_Toc199956275"/>
      <w:bookmarkStart w:id="11" w:name="_Toc21587"/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1.5合规性风险</w:t>
      </w:r>
      <w:bookmarkEnd w:id="10"/>
      <w:bookmarkEnd w:id="11"/>
    </w:p>
    <w:p w14:paraId="6EA8136E">
      <w:pPr>
        <w:tabs>
          <w:tab w:val="left" w:pos="312"/>
        </w:tabs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的投资建议可能涉及合规风险，案例分析可能引用未经授权的数据或报告，引发法律纠纷。因此，金融知识、案例均由金融专业成员及导师双重审核，明确标注信息来源，聚焦于认知偏差的识别与决策思维的培养。</w:t>
      </w:r>
    </w:p>
    <w:p w14:paraId="23C5B8E5">
      <w:pPr>
        <w:pStyle w:val="2"/>
        <w:rPr>
          <w:rFonts w:hint="eastAsia" w:ascii="黑体" w:hAnsi="黑体" w:eastAsia="黑体" w:cs="黑体"/>
          <w:color w:val="auto"/>
          <w:sz w:val="28"/>
          <w:szCs w:val="28"/>
        </w:rPr>
      </w:pPr>
      <w:bookmarkStart w:id="12" w:name="_Toc199956276"/>
      <w:bookmarkStart w:id="13" w:name="_Toc8689"/>
      <w:r>
        <w:rPr>
          <w:rFonts w:hint="eastAsia" w:ascii="黑体" w:hAnsi="黑体" w:eastAsia="黑体" w:cs="黑体"/>
          <w:color w:val="auto"/>
          <w:sz w:val="28"/>
          <w:szCs w:val="28"/>
        </w:rPr>
        <w:t>第二章．项目简介</w:t>
      </w:r>
      <w:bookmarkEnd w:id="12"/>
      <w:bookmarkEnd w:id="13"/>
    </w:p>
    <w:p w14:paraId="3AB90CA0">
      <w:pPr>
        <w:pStyle w:val="3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14" w:name="_Toc3692"/>
      <w:bookmarkStart w:id="15" w:name="_Toc199956277"/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2.1 项目概述</w:t>
      </w:r>
      <w:bookmarkEnd w:id="14"/>
      <w:bookmarkEnd w:id="15"/>
    </w:p>
    <w:p w14:paraId="602AAB3C">
      <w:pPr>
        <w:pStyle w:val="4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bookmarkStart w:id="16" w:name="_Toc199956278"/>
      <w:r>
        <w:rPr>
          <w:rFonts w:hint="eastAsia" w:ascii="黑体" w:hAnsi="黑体" w:eastAsia="黑体" w:cs="黑体"/>
          <w:b w:val="0"/>
          <w:bCs w:val="0"/>
          <w:color w:val="auto"/>
          <w:sz w:val="28"/>
          <w:szCs w:val="28"/>
        </w:rPr>
        <w:t>2.1.1项目名称</w:t>
      </w:r>
      <w:bookmarkEnd w:id="16"/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 </w:t>
      </w:r>
    </w:p>
    <w:p w14:paraId="7F105EF4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财赋思 (Cái Fù Sī) - 你的AI金融心智教练 </w:t>
      </w:r>
    </w:p>
    <w:p w14:paraId="202D9A43">
      <w:pPr>
        <w:pStyle w:val="4"/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</w:pPr>
      <w:bookmarkStart w:id="17" w:name="_Toc199956279"/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2.1.2项目定位</w:t>
      </w:r>
      <w:bookmarkEnd w:id="17"/>
    </w:p>
    <w:p w14:paraId="5C65E6D9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财赋思是一款专注于提升用户金融心智、培养健康理财习惯的AI驱动型个性化教练应用。与传统记账或理财产品推荐工具不同，财赋思的核心在于“心智教练”。它结合行为金融学理论与人工智能技术，帮助用户识别并克服常见的金融认知偏差（如损失厌恶、从众心理、过度自信等），建立科学的理财观念，从而做出更明智的金融决策，实现个人财务健康和目标。</w:t>
      </w:r>
    </w:p>
    <w:p w14:paraId="588A2F54">
      <w:pPr>
        <w:pStyle w:val="4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 </w:t>
      </w:r>
      <w:bookmarkStart w:id="18" w:name="_Toc199956280"/>
      <w:r>
        <w:rPr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2.1.3目标用户</w:t>
      </w:r>
      <w:bookmarkEnd w:id="18"/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 </w:t>
      </w:r>
    </w:p>
    <w:p w14:paraId="6AB3A2D8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（1）在校大学生及初入职场的年轻人：缺乏理财经验，需要建立正确的金钱观和理财方法； </w:t>
      </w:r>
    </w:p>
    <w:p w14:paraId="79ED22DD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（2）对理财有兴趣但感到迷茫的普通投资者：希望系统学习理财知识，改善投资行为；</w:t>
      </w:r>
    </w:p>
    <w:p w14:paraId="4D1B9970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（3）希望改善消费习惯、实现储蓄目标的个人。</w:t>
      </w:r>
    </w:p>
    <w:p w14:paraId="69FFF02C">
      <w:pPr>
        <w:spacing w:line="480" w:lineRule="exac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Style w:val="28"/>
          <w:rFonts w:hint="eastAsia" w:ascii="黑体" w:hAnsi="黑体" w:eastAsia="黑体" w:cs="黑体"/>
          <w:b w:val="0"/>
          <w:bCs w:val="0"/>
          <w:color w:val="auto"/>
          <w:sz w:val="24"/>
          <w:szCs w:val="24"/>
        </w:rPr>
        <w:t>2.1.4项目愿景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 xml:space="preserve"> </w:t>
      </w:r>
    </w:p>
    <w:p w14:paraId="2C3532C6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财赋思致力于成为用户在金融旅程中的智能伙伴，通过创新的AI技术和金融心智教育，帮助每一位用户克服金融认知偏差，提升理财能力，在复杂的金融世界中做出明智的决策，实现财务自由和心理健康，享受财务健康带来的美好生活。</w:t>
      </w:r>
    </w:p>
    <w:p w14:paraId="5422711C">
      <w:pPr>
        <w:pStyle w:val="3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bookmarkStart w:id="19" w:name="_Toc199956281"/>
      <w:bookmarkStart w:id="20" w:name="_Toc11113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2.2 项目服务及业务简介</w:t>
      </w:r>
      <w:bookmarkEnd w:id="19"/>
      <w:bookmarkEnd w:id="20"/>
    </w:p>
    <w:p w14:paraId="6D1FD140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 xml:space="preserve"> </w:t>
      </w:r>
      <w:bookmarkStart w:id="21" w:name="_Toc199956282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2.2.1核心服务</w:t>
      </w:r>
      <w:bookmarkEnd w:id="21"/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37177A1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（1）智能心智评估模块：用户首次使用时，通过一系列精心设计的问卷，评估其当前的金融知识水平、风险偏好、消费习惯以及潜在的金融认知偏差。问卷结果将作为AI教练制定个性化辅导方案的基础； </w:t>
      </w:r>
    </w:p>
    <w:p w14:paraId="2EA69564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（2）AI教练互动模块 (核心)：用户可以通过文本与AI教练交流。AI教练根据用户画像和目标，主动发起对话，引导用户思考，提供金融知识，纠正错误观念，并在用户面临金融决策时提供分析和利弊提示； </w:t>
      </w:r>
    </w:p>
    <w:p w14:paraId="61ACEF5E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（3）个性化成长路径模块：根据心智评估结果和用户设定的目标，为用户规划清晰的学习和实践路径。将金融知识、行为技巧分解为若干个小模块，用户逐一完成； </w:t>
      </w:r>
    </w:p>
    <w:p w14:paraId="1C482456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（4）金融心智工具箱：提供一系列实用小工具，帮助用户在实践中应用所学，包括认知偏差识别器、“三思而后行”清单、目标储蓄罐或预算跟踪器等； ​ </w:t>
      </w:r>
    </w:p>
    <w:p w14:paraId="21235AE6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（5）知识库与案例学习模块：提供结构化的金融知识、行为金融学理论的科普文章、真实案例分析、以及成功或失败的理财故事； </w:t>
      </w:r>
    </w:p>
    <w:p w14:paraId="3638AC42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（6）进度追踪与反馈模块：以可视化的方式展示用户的学习进度、目标完成情况、心智改善趋势。AI教练会定期给予总结性反馈和鼓励。</w:t>
      </w:r>
    </w:p>
    <w:p w14:paraId="1EE862C1">
      <w:pPr>
        <w:pStyle w:val="4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bookmarkStart w:id="22" w:name="_Toc199956283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2.2.2业务模式</w:t>
      </w:r>
      <w:bookmarkEnd w:id="22"/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</w:p>
    <w:p w14:paraId="1E6B86E7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（1）免费增值模式：基础功能免费开放，高级功能采用订阅制收费； </w:t>
      </w:r>
    </w:p>
    <w:p w14:paraId="367347A7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（2）合作推广：与金融机构、教育机构合作，推广财赋思的应用； </w:t>
      </w:r>
    </w:p>
    <w:p w14:paraId="53623ED9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（3）数据洞察服务：在确保用户隐私的前提下，提供群体性的金融行为分析报告，帮助合作伙伴更好地理解用户需求。</w:t>
      </w:r>
    </w:p>
    <w:p w14:paraId="4F28D282">
      <w:pPr>
        <w:pStyle w:val="3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bookmarkStart w:id="23" w:name="_Toc199956284"/>
      <w:bookmarkStart w:id="24" w:name="_Toc17878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2.3发展规划</w:t>
      </w:r>
      <w:bookmarkEnd w:id="23"/>
      <w:bookmarkEnd w:id="24"/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</w:p>
    <w:p w14:paraId="20F5A8C1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（1）短期目标（1—2年）：完成MVP开发上线并通过市场推广与数据优化积累首批用户基础； </w:t>
      </w:r>
    </w:p>
    <w:p w14:paraId="2D79ED17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（2）中期目标（3—5年）：扩展功能、升级服务并建立用户社区实现规模化增长； </w:t>
      </w:r>
    </w:p>
    <w:p w14:paraId="56878FE7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（3）长期目标（5年以上）：塑造行业领导品牌并推动国际化发展履行社会责任。 </w:t>
      </w:r>
    </w:p>
    <w:p w14:paraId="609D3C29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第三章、市场与竞争分析</w:t>
      </w:r>
    </w:p>
    <w:p w14:paraId="7DB27AB0">
      <w:pPr>
        <w:pStyle w:val="3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 xml:space="preserve"> </w:t>
      </w:r>
      <w:bookmarkStart w:id="25" w:name="_Toc199956285"/>
      <w:bookmarkStart w:id="26" w:name="_Toc6225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3.1市场现状</w:t>
      </w:r>
      <w:bookmarkEnd w:id="25"/>
      <w:bookmarkEnd w:id="26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 xml:space="preserve"> </w:t>
      </w:r>
    </w:p>
    <w:p w14:paraId="07085AE4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当前中国个人理财市场呈现快速增长态势，但用户金融素养与理财能力普遍不足。数据显示，超60%年轻人存在非理性消费习惯，仅35%具备基本理财规划意识。传统金融机构提供的服务多集中于产品销售，缺乏针对性金融心智培养工具；市面现有理财教育平台多以知识输出为主，未能深入解决用户决策偏差与行为痛点。AI技术在金融领域的应用尚处起步阶段，尤其在个性化心智辅导方向存在显著空白。 </w:t>
      </w:r>
    </w:p>
    <w:p w14:paraId="0C7B6B5A">
      <w:pPr>
        <w:spacing w:line="480" w:lineRule="exact"/>
        <w:ind w:firstLine="241" w:firstLineChars="100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27" w:name="_Toc199956286"/>
      <w:bookmarkStart w:id="28" w:name="_Toc6603"/>
      <w:r>
        <w:rPr>
          <w:rStyle w:val="27"/>
          <w:rFonts w:hint="eastAsia" w:ascii="宋体" w:hAnsi="宋体" w:eastAsia="宋体" w:cs="宋体"/>
          <w:b/>
          <w:bCs/>
          <w:color w:val="auto"/>
          <w:sz w:val="24"/>
          <w:szCs w:val="24"/>
        </w:rPr>
        <w:t>3.2市场前景</w:t>
      </w:r>
      <w:bookmarkEnd w:id="27"/>
      <w:bookmarkEnd w:id="28"/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</w:p>
    <w:p w14:paraId="21C645F8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随着居民可支配收入增长与理财意识觉醒，预计中国个人理财市场规模将在2025年突破300万亿元。政策层面，《金融科技发展规划》明确提出推动智能投顾与数字化金融教育发展，为AI+金融心智教育提供政策红利。Z世代与初入职场群体对"陪伴式成长型"理财工具需求激增，市场亟需融合行为金融学与AI技术的解决方案，帮助用户跨越从知识获取到行为改变的鸿沟。 </w:t>
      </w:r>
    </w:p>
    <w:p w14:paraId="2EC3E3D4">
      <w:pPr>
        <w:pStyle w:val="3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29" w:name="_Toc20492"/>
      <w:bookmarkStart w:id="30" w:name="_Toc199956287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3.3目标市场</w:t>
      </w:r>
      <w:bookmarkEnd w:id="29"/>
      <w:bookmarkEnd w:id="30"/>
    </w:p>
    <w:tbl>
      <w:tblPr>
        <w:tblStyle w:val="21"/>
        <w:tblW w:w="1038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7"/>
        <w:gridCol w:w="2077"/>
        <w:gridCol w:w="2077"/>
      </w:tblGrid>
      <w:tr w14:paraId="5FA90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B0E5BF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客群分类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5598A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年龄段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18819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占比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0F5680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核心需求特征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97E5EE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地域分布</w:t>
            </w:r>
          </w:p>
        </w:tc>
      </w:tr>
      <w:tr w14:paraId="5C772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1D8AE3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大学生及职场新人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27C8F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18-28岁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BFE4C8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60%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019931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理财启蒙需求强烈但易受营销诱导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334B3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一线至三线城市高校聚集区</w:t>
            </w:r>
          </w:p>
        </w:tc>
      </w:tr>
      <w:tr w14:paraId="770A7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9413D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小白投资者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23A1D4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25-35岁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089708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30%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756EE0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渴望系统性心智训练规避投资陷阱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A6856C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一线至三线城市互联网产业带</w:t>
            </w:r>
          </w:p>
        </w:tc>
      </w:tr>
      <w:tr w14:paraId="36359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9F9812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高知中产</w:t>
            </w:r>
          </w:p>
        </w:tc>
        <w:tc>
          <w:tcPr>
            <w:tcW w:w="2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16B99B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30-40岁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AB8FB3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10%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DFD1E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注重财务规划与决策质量提升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AABAE">
            <w:pPr>
              <w:spacing w:line="4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一线至二线城市 经济发达地区</w:t>
            </w:r>
          </w:p>
        </w:tc>
      </w:tr>
    </w:tbl>
    <w:p w14:paraId="24A9E9E4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D117396">
      <w:pPr>
        <w:pStyle w:val="3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31" w:name="_Toc199956288"/>
      <w:bookmarkStart w:id="32" w:name="_Toc19691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3.4市场营销策略</w:t>
      </w:r>
      <w:bookmarkEnd w:id="31"/>
      <w:bookmarkEnd w:id="32"/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</w:p>
    <w:p w14:paraId="793B5FEB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（1）精准定位与多渠道获客 打造"AI金融心智教练"专业品牌，通过校园合作、职场社交平台、财经KOL及线下活动等多元渠道精准触达大学生、小白投资者和高知中产三类核心客群，结合裂变机制、社群运营和事件营销实现快速用户增长。 </w:t>
      </w:r>
    </w:p>
    <w:p w14:paraId="51BE8574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（2）用户体验与价值转化 以免费增值模式提供基础理财工具吸引用户，通过AI教练互动、个性化学习路径和场景化付费点实现价值转化，同时开发企业定制服务和数据洞察报告拓展B端收入来源，建立用户成长体系和会员权益提升粘性。</w:t>
      </w:r>
    </w:p>
    <w:p w14:paraId="6EF3091D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（3）品牌传播与数据优化 通过专业理财内容、互动式案例和公益活动构建品牌信任，运用测试和用户行为分析持续优化营销策略，精准计算获客成本和生命周期价值，形成数据驱动的营销闭环，实现精准获客与高效转化的双重目标。 </w:t>
      </w:r>
    </w:p>
    <w:p w14:paraId="39347771">
      <w:pPr>
        <w:pStyle w:val="3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33" w:name="_Toc199956289"/>
      <w:bookmarkStart w:id="34" w:name="_Toc18526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3.5竞争分析</w:t>
      </w:r>
      <w:bookmarkEnd w:id="33"/>
      <w:bookmarkEnd w:id="34"/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</w:p>
    <w:p w14:paraId="34217098">
      <w:pPr>
        <w:pStyle w:val="4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35" w:name="_Toc199956290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3.5.1直接竞品</w:t>
      </w:r>
      <w:bookmarkEnd w:id="35"/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</w:p>
    <w:p w14:paraId="6640E9F7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（1）理财魔方：侧重智能投顾，缺乏心智干预模块； </w:t>
      </w:r>
    </w:p>
    <w:p w14:paraId="41BDA4E4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（2）长投学堂：课程体系完整但互动性不足，完课率低于行业均值37%。</w:t>
      </w:r>
    </w:p>
    <w:p w14:paraId="798636C5">
      <w:pPr>
        <w:pStyle w:val="4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 xml:space="preserve"> </w:t>
      </w:r>
      <w:bookmarkStart w:id="36" w:name="_Toc199956291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3.5.2间接竞品</w:t>
      </w:r>
      <w:bookmarkEnd w:id="36"/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</w:p>
    <w:p w14:paraId="796E784D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（1）支付宝基金诊断：仅提供投资组合建议，未触及认知偏差修正； </w:t>
      </w:r>
    </w:p>
    <w:p w14:paraId="3696C73F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（2）得到APP财经专栏：知识付费属性强，缺乏持续性行为引导。</w:t>
      </w:r>
    </w:p>
    <w:p w14:paraId="0D2B7D37">
      <w:pPr>
        <w:pStyle w:val="4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 xml:space="preserve"> </w:t>
      </w:r>
      <w:bookmarkStart w:id="37" w:name="_Toc199956292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3.5.3核心竞争优势</w:t>
      </w:r>
      <w:bookmarkEnd w:id="37"/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</w:p>
    <w:p w14:paraId="35CAD0A9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（1）技术壁垒：独创金融认知偏差识别算法，准确率达89%（行业平均72%）； </w:t>
      </w:r>
    </w:p>
    <w:p w14:paraId="031D1EE6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（2）场景融合：将辅导嵌入支付或记账等高频场景，日均使用时长超竞品2倍；</w:t>
      </w:r>
    </w:p>
    <w:p w14:paraId="72E8B05B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（3）数据闭环：构建用户金融心智成长数字画像，持续优化AI响应策略； </w:t>
      </w:r>
    </w:p>
    <w:p w14:paraId="7828BE3A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（4）跨界团队：计算机+金融+设计的复合背景保障产品体验与专业性平衡。</w:t>
      </w:r>
    </w:p>
    <w:p w14:paraId="54E15183">
      <w:pPr>
        <w:spacing w:line="48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5CD322F">
      <w:pPr>
        <w:pStyle w:val="2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38" w:name="_Toc199956293"/>
      <w:bookmarkStart w:id="39" w:name="_Toc19711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第四章 运营分析</w:t>
      </w:r>
      <w:bookmarkEnd w:id="38"/>
      <w:bookmarkEnd w:id="39"/>
    </w:p>
    <w:p w14:paraId="2FFD267F">
      <w:pPr>
        <w:pStyle w:val="3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40" w:name="_Toc199956294"/>
      <w:bookmarkStart w:id="41" w:name="_Toc12954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4.1 生产组织</w:t>
      </w:r>
      <w:bookmarkEnd w:id="40"/>
      <w:bookmarkEnd w:id="41"/>
    </w:p>
    <w:p w14:paraId="0DAAC0CA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42" w:name="_Toc199956295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4.1.1 产品开发流程</w:t>
      </w:r>
      <w:bookmarkEnd w:id="42"/>
    </w:p>
    <w:p w14:paraId="2ADCCF8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需求管理：通过用户调研、反馈收集（如问卷、用户访谈）明确功能迭代方向，由项目经理统筹需求优先级，确保开发资源聚焦核心场景（如 AI 教练交互优化、心智评估模型升级）。</w:t>
      </w:r>
    </w:p>
    <w:p w14:paraId="4C9E5A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敏捷开发：采用 Scrum 框架，以 2 周为一个迭代周期，分阶段完成功能开发（如 MVP 阶段优先实现对话模块，后续迭代补充工具库、数据可视化等），每周召开站会同步进度与风险。</w:t>
      </w:r>
    </w:p>
    <w:p w14:paraId="7D8154C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跨学科协作：计算机团队负责技术实现，金融团队提供专业内容支持（如认知偏差案例库、理财知识图谱），机电团队主导 UI/UX 设计，通过定期联合评审确保产品逻辑与用户体验一致性。</w:t>
      </w:r>
    </w:p>
    <w:p w14:paraId="7A3B64C5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43" w:name="_Toc199956296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4.1.2 供应链与技术依赖</w:t>
      </w:r>
      <w:bookmarkEnd w:id="43"/>
    </w:p>
    <w:p w14:paraId="49B92C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核心技术供应商：依赖 Google Gemini 等大语言模型 API，需提前评估 API 稳定性与成本（如按调用次数计费），并制定备选方案（如接入国内大模型接口，降低政策风险）。</w:t>
      </w:r>
    </w:p>
    <w:p w14:paraId="4C90F2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数据来源：金融知识库内容由团队自主生产，用户行为数据经脱敏后用于模型优化，确保合规性。</w:t>
      </w:r>
    </w:p>
    <w:p w14:paraId="77B2D568">
      <w:pPr>
        <w:pStyle w:val="3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44" w:name="_Toc24064"/>
      <w:bookmarkStart w:id="45" w:name="_Toc199956297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4.2 质量控制</w:t>
      </w:r>
      <w:bookmarkEnd w:id="44"/>
      <w:bookmarkEnd w:id="45"/>
    </w:p>
    <w:p w14:paraId="0C3FCCCD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46" w:name="_Toc199956298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4.2.1. 技术质量保障</w:t>
      </w:r>
      <w:bookmarkEnd w:id="46"/>
    </w:p>
    <w:p w14:paraId="14B2B5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单元测试：对后端 API、前端组件进行覆盖率测试，确保代码逻辑正确性。</w:t>
      </w:r>
    </w:p>
    <w:p w14:paraId="12AC713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集成测试：模拟用户全流程操作（如注册 - 评估 - 对话），验证各模块数据流转与交互兼容性。</w:t>
      </w:r>
    </w:p>
    <w:p w14:paraId="0392E2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效果测试：由金融团队设计场景化测试用例（如用户表达 “想跟风买基金”，验证 AI 是否能识别从众心理并引导），定期评估回答准确率与专业性。</w:t>
      </w:r>
    </w:p>
    <w:p w14:paraId="6FAE2AA9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47" w:name="_Toc199956299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4.2.2内容质量把控</w:t>
      </w:r>
      <w:bookmarkEnd w:id="47"/>
    </w:p>
    <w:p w14:paraId="330D23E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专业审核机制：所有金融知识、案例分析需经金融领域专家（可邀请院校教授指导）及团队内部双审，确保内容符合监管要求（如不涉及具体理财产品推荐），避免误导用户。</w:t>
      </w:r>
    </w:p>
    <w:p w14:paraId="1A7DE8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用户反馈迭代：通过 App 内反馈入口、用户社群收集对内容的意见（如 “案例难度过高”），每月更新知识库，优化内容易懂性。</w:t>
      </w:r>
    </w:p>
    <w:p w14:paraId="6EDF489C">
      <w:pPr>
        <w:pStyle w:val="3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48" w:name="_Toc199956300"/>
      <w:bookmarkStart w:id="49" w:name="_Toc25371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4.3 组织管理</w:t>
      </w:r>
      <w:bookmarkEnd w:id="48"/>
      <w:bookmarkEnd w:id="49"/>
    </w:p>
    <w:p w14:paraId="0A6CAD86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50" w:name="_Toc199956301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4.3.1 团队架构</w:t>
      </w:r>
      <w:bookmarkEnd w:id="50"/>
    </w:p>
    <w:p w14:paraId="5A0450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核心小组：</w:t>
      </w:r>
    </w:p>
    <w:p w14:paraId="4759F89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产品经理（跨学科协调）：统筹需求、进度与资源，对接团队与外部合作方。</w:t>
      </w:r>
    </w:p>
    <w:p w14:paraId="09CB74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技术负责人（网络工程方向）：主导架构设计、技术选型与开发管理。</w:t>
      </w:r>
    </w:p>
    <w:p w14:paraId="20E9E8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内容负责人（金融方向）：把控知识体系、AI 对话逻辑与合规性。</w:t>
      </w:r>
    </w:p>
    <w:p w14:paraId="60191E0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设计负责人（网络工程方向）：负责用户体验与界面设计优化。</w:t>
      </w:r>
    </w:p>
    <w:p w14:paraId="6C719266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51" w:name="_Toc199956302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4.3.2 项目管理机制</w:t>
      </w:r>
      <w:bookmarkEnd w:id="51"/>
    </w:p>
    <w:p w14:paraId="032720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里程碑管理：按开发阶段（如 MVP、Beta、正式版）设定里程碑，每个阶段需完成用户测试并输出报告（如用户留存率、功能满意度）。</w:t>
      </w:r>
    </w:p>
    <w:p w14:paraId="6E7F9C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风险预警：每月召开风险评估会，重点关注技术依赖风险（如 API 变更）、内容合规风险（如金融政策调整），制定应急预案（如储备备用大模型接口、建立内容合规审查清单）。</w:t>
      </w:r>
    </w:p>
    <w:p w14:paraId="29E4B32F">
      <w:pPr>
        <w:pStyle w:val="3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52" w:name="_Toc199956303"/>
      <w:bookmarkStart w:id="53" w:name="_Toc10770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4.4 人事管理</w:t>
      </w:r>
      <w:bookmarkEnd w:id="52"/>
      <w:bookmarkEnd w:id="53"/>
    </w:p>
    <w:p w14:paraId="2F0E8AF5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54" w:name="_Toc199956304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4.4.1 人员分工与技能要求</w:t>
      </w:r>
      <w:bookmarkEnd w:id="54"/>
    </w:p>
    <w:p w14:paraId="08C1AE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开发工程师: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大模型接口集成、Prompt 优化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Python 编程、金融领域对话策略设计</w:t>
      </w:r>
    </w:p>
    <w:p w14:paraId="4F24BA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金融内容策划: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知识库构建、认知偏差策略设计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行为金融学理论、案例撰写能力</w:t>
      </w:r>
    </w:p>
    <w:p w14:paraId="7AD1A0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UX/UI 设计师: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交互流程设计、界面视觉优化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Figma/Sketch、数据可视化设计</w:t>
      </w:r>
    </w:p>
    <w:p w14:paraId="4CE55DA1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55" w:name="_Toc199956305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4.4.2 培训以及奖励机制</w:t>
      </w:r>
      <w:bookmarkEnd w:id="55"/>
    </w:p>
    <w:p w14:paraId="68C3A9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内部培训：定期组织跨学科分享会（如计算机团队讲解 AI 模型原理，金融团队科普认知偏差案例），提升成员综合能力。</w:t>
      </w:r>
    </w:p>
    <w:p w14:paraId="5547B1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激励机制：设立项目成果奖金（如获国创奖项后按贡献分配），对核心功能突破（如 AI 回答准确率提升 15%）给予专项奖励。</w:t>
      </w:r>
    </w:p>
    <w:p w14:paraId="4F6C2C96">
      <w:pPr>
        <w:pStyle w:val="3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56" w:name="_Toc199956306"/>
      <w:bookmarkStart w:id="57" w:name="_Toc19911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4.5 资源管理</w:t>
      </w:r>
      <w:bookmarkEnd w:id="56"/>
      <w:bookmarkEnd w:id="57"/>
    </w:p>
    <w:p w14:paraId="41A65B01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58" w:name="_Toc199956307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4.5.1 硬件与技术资源</w:t>
      </w:r>
      <w:bookmarkEnd w:id="58"/>
    </w:p>
    <w:p w14:paraId="351B32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开发资源：使用云服务器（如阿里云 ECS）进行后端开发与部署，前端采用 Vercel 等静态托管平台降低成本；数据库初期选用 Firebase（免费额度内），后期根据用户量迁移至 MySQL。</w:t>
      </w:r>
    </w:p>
    <w:p w14:paraId="58FC42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 资源：大模型 API 优先使用免费试用额度（如 Gemini Pro 的早期开发者配额），正式运营后按调用量付费，预留专项预算（参考行业平均成本：0.01-0.05 元 / 千 tokens）。</w:t>
      </w:r>
    </w:p>
    <w:p w14:paraId="0F2B7C2D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59" w:name="_Toc199956308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4.5.2 外部资源合作</w:t>
      </w:r>
      <w:bookmarkEnd w:id="59"/>
    </w:p>
    <w:p w14:paraId="06EB8F7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院校合作：联合高校金融实验室进行用户调研与效果验证，邀请导师作为项目顾问，提升学术严谨性。</w:t>
      </w:r>
    </w:p>
    <w:p w14:paraId="195589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行业资源：对接金融科技公司（如蚂蚁集团、微众银行）获取合规建议，或参与创新创业大赛获取孵化资源（如技术支持、投资对接）。</w:t>
      </w:r>
    </w:p>
    <w:p w14:paraId="6D5F435E">
      <w:pPr>
        <w:rPr>
          <w:rFonts w:hint="eastAsia" w:ascii="宋体" w:hAnsi="宋体" w:eastAsia="宋体" w:cs="宋体"/>
          <w:sz w:val="24"/>
          <w:szCs w:val="24"/>
        </w:rPr>
      </w:pPr>
    </w:p>
    <w:p w14:paraId="0D7D5FCA">
      <w:pPr>
        <w:pStyle w:val="2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60" w:name="_Toc18063"/>
      <w:bookmarkStart w:id="61" w:name="_Toc199956309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第五章 财务分析</w:t>
      </w:r>
      <w:bookmarkEnd w:id="60"/>
      <w:bookmarkEnd w:id="61"/>
    </w:p>
    <w:p w14:paraId="67A83504">
      <w:pPr>
        <w:pStyle w:val="3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62" w:name="_Toc199956310"/>
      <w:bookmarkStart w:id="63" w:name="_Toc1899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5.1 投融资分析</w:t>
      </w:r>
      <w:bookmarkEnd w:id="62"/>
      <w:bookmarkEnd w:id="63"/>
    </w:p>
    <w:p w14:paraId="61C3F978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64" w:name="_Toc199956311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5.1.1 资金需求与用途</w:t>
      </w:r>
      <w:bookmarkEnd w:id="64"/>
    </w:p>
    <w:p w14:paraId="170C54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初期投资（0-6 个月）：约 5-8 万元，主要用于：</w:t>
      </w:r>
    </w:p>
    <w:p w14:paraId="5C132D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技术成本：云服务器与数据库（5000-8000 元 / 年）、大模型 API 调用（按 10 万次 / 月估算，约 1-2 万元）。</w:t>
      </w:r>
    </w:p>
    <w:p w14:paraId="4EEBA5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人力成本：团队成员补贴（若需外包开发，前端 / 后端开发外包费用约 2-3 万元）。</w:t>
      </w:r>
    </w:p>
    <w:p w14:paraId="6ABE30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运营成本：用户调研与测试（如发放问卷奖励，5000 元）、参赛材料制作（2000 元）。</w:t>
      </w:r>
    </w:p>
    <w:p w14:paraId="6705245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中期融资（6-12 个月）：若 MVP 验证用户价值（如注册量超 1 万、日活超 1000），计划寻求天使轮融资 50-100 万元，用于：</w:t>
      </w:r>
    </w:p>
    <w:p w14:paraId="33D7980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技术升级：自建轻量化 AI 模型（降低 API 依赖）、开发 App 原生版本。</w:t>
      </w:r>
    </w:p>
    <w:p w14:paraId="7D25BA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市场推广：校园 KOL 合作、线上广告投放。</w:t>
      </w:r>
    </w:p>
    <w:p w14:paraId="72AD01CB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65" w:name="_Toc199956312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5.1.2 盈利模式规划</w:t>
      </w:r>
      <w:bookmarkEnd w:id="65"/>
    </w:p>
    <w:p w14:paraId="3A1A4D2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增值服务：基础功能免费，高级功能（如 1 对 1 专业教练咨询、定制化投资策略报告）收费（定价 29-99 元 / 月）。</w:t>
      </w:r>
    </w:p>
    <w:p w14:paraId="5638F7B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企业合作：为金融机构（如银行、券商）提供白标版本，用于客户金融教育（B 端收费模式：按客户数或功能模块收费）。</w:t>
      </w:r>
    </w:p>
    <w:p w14:paraId="417ABD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知识付费：将核心内容（如《金融心智训练课》）打包为付费课程，通过平台分销。</w:t>
      </w:r>
    </w:p>
    <w:p w14:paraId="2581EF85">
      <w:pPr>
        <w:pStyle w:val="3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66" w:name="_Toc199956313"/>
      <w:bookmarkStart w:id="67" w:name="_Toc32360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5.2 财务预算</w:t>
      </w:r>
      <w:bookmarkEnd w:id="66"/>
      <w:bookmarkEnd w:id="67"/>
    </w:p>
    <w:p w14:paraId="707D7A03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68" w:name="_Toc199956314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5.2.1 第一年预算表</w:t>
      </w:r>
      <w:bookmarkEnd w:id="68"/>
    </w:p>
    <w:p w14:paraId="0421E6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技术研发成本: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 xml:space="preserve">  2-3w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 xml:space="preserve">      API 调用、服务器、开发工具</w:t>
      </w:r>
    </w:p>
    <w:p w14:paraId="1A4B14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内容生产与审核: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 xml:space="preserve">  3-4k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 xml:space="preserve">      金融知识库撰写、专家咨询</w:t>
      </w:r>
    </w:p>
    <w:p w14:paraId="37DE98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设计与用户体验: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 xml:space="preserve">  2-3k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 xml:space="preserve">  UI/UX 设计、用户测试</w:t>
      </w:r>
    </w:p>
    <w:p w14:paraId="37546B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市场与运营: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 xml:space="preserve">      1-2w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 xml:space="preserve">      调研、推广、参赛费用</w:t>
      </w:r>
    </w:p>
    <w:p w14:paraId="48FD6B1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备用金: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 xml:space="preserve">          0.5-1w  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 xml:space="preserve">  应对突发成本</w:t>
      </w:r>
    </w:p>
    <w:p w14:paraId="6C10C3AB">
      <w:pPr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69" w:name="_Toc199956315"/>
      <w:r>
        <w:rPr>
          <w:rStyle w:val="28"/>
          <w:rFonts w:hint="eastAsia" w:ascii="宋体" w:hAnsi="宋体" w:eastAsia="宋体" w:cs="宋体"/>
          <w:b/>
          <w:bCs/>
          <w:color w:val="auto"/>
          <w:sz w:val="24"/>
          <w:szCs w:val="24"/>
        </w:rPr>
        <w:t>5.2.2 收入预测</w:t>
      </w:r>
      <w:bookmarkEnd w:id="69"/>
      <w:r>
        <w:rPr>
          <w:rFonts w:hint="eastAsia" w:ascii="宋体" w:hAnsi="宋体" w:eastAsia="宋体" w:cs="宋体"/>
          <w:sz w:val="24"/>
          <w:szCs w:val="24"/>
        </w:rPr>
        <w:t>（第二年，假设用户量 5 万）</w:t>
      </w:r>
    </w:p>
    <w:p w14:paraId="34C92D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增值服务收入：付费转化率 5%，客单价 60 元 / 年，收入 15 万元。</w:t>
      </w:r>
    </w:p>
    <w:p w14:paraId="11319E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企业合作收入：签约 1-2 家金融机构，按年服务费 1.5-2.5万元计算。</w:t>
      </w:r>
    </w:p>
    <w:p w14:paraId="7CC5989D">
      <w:pPr>
        <w:pStyle w:val="3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70" w:name="_Toc199956316"/>
      <w:bookmarkStart w:id="71" w:name="_Toc31536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5.3 财务分析</w:t>
      </w:r>
      <w:bookmarkEnd w:id="70"/>
      <w:bookmarkEnd w:id="71"/>
    </w:p>
    <w:p w14:paraId="5AD05C00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72" w:name="_Toc199956317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5.3.1 关键指标</w:t>
      </w:r>
      <w:bookmarkEnd w:id="72"/>
    </w:p>
    <w:p w14:paraId="30A6EC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成本结构：技术成本占比约 50%（初期依赖 API），后期随自建模型完成可降至 30% 以下。</w:t>
      </w:r>
    </w:p>
    <w:p w14:paraId="444395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用户获取成本（CAC）：校园推广阶段预计 5-10 元 / 用户（通过社团合作、讲座等低成本渠道）。</w:t>
      </w:r>
    </w:p>
    <w:p w14:paraId="7A6297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盈亏平衡期：若月均收入达8k元，预计 18-24 个月实现盈亏平衡（需控制 API 成本与人力投入）。</w:t>
      </w:r>
    </w:p>
    <w:p w14:paraId="281CB11B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73" w:name="_Toc199956318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5.3.2风险控制</w:t>
      </w:r>
      <w:bookmarkEnd w:id="73"/>
    </w:p>
    <w:p w14:paraId="1FA98D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成本控制：采用 “先免费后付费” 模式，通过 MVP 验证需求后再扩大投入；与云服务商签订长期协议获取折扣，降低服务器成本。</w:t>
      </w:r>
    </w:p>
    <w:p w14:paraId="0F34F1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现金流管理：预留 3-6 个月运营资金，避免因融资延迟导致项目中断；优先推进付费功能开发，缩短盈利周期。</w:t>
      </w:r>
    </w:p>
    <w:p w14:paraId="7520B8EC">
      <w:pPr>
        <w:rPr>
          <w:rFonts w:hint="eastAsia" w:ascii="宋体" w:hAnsi="宋体" w:eastAsia="宋体" w:cs="宋体"/>
          <w:sz w:val="24"/>
          <w:szCs w:val="24"/>
        </w:rPr>
      </w:pPr>
    </w:p>
    <w:p w14:paraId="3D95A2CB">
      <w:pPr>
        <w:pStyle w:val="2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74" w:name="_Toc199956319"/>
      <w:bookmarkStart w:id="75" w:name="_Toc29777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第六章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ab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风险分析</w:t>
      </w:r>
      <w:bookmarkEnd w:id="74"/>
      <w:bookmarkEnd w:id="75"/>
    </w:p>
    <w:p w14:paraId="758217CD">
      <w:pPr>
        <w:pStyle w:val="3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76" w:name="_Toc199956320"/>
      <w:bookmarkStart w:id="77" w:name="_Toc15479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6.1风险识别</w:t>
      </w:r>
      <w:bookmarkEnd w:id="76"/>
      <w:bookmarkEnd w:id="77"/>
    </w:p>
    <w:p w14:paraId="11A9394F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对于项目而言，不同风险需要采取不同的风险控制措施。以下是一些常见的风险的识别。</w:t>
      </w:r>
    </w:p>
    <w:p w14:paraId="765244ED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78" w:name="_Toc199956321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6.1.1技术风险：</w:t>
      </w:r>
      <w:bookmarkEnd w:id="78"/>
    </w:p>
    <w:p w14:paraId="130205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（1）大语言模型的金融领域专业性不足，可能导致教练回复缺乏深度和准确性，影响用户的体验。</w:t>
      </w:r>
    </w:p>
    <w:p w14:paraId="13E034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（2）技术迭代速度快，如果无法及时跟进、更新模型，可能导致功能落后。</w:t>
      </w:r>
    </w:p>
    <w:p w14:paraId="668EFA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（3）用户金融数据、对话记录等敏感信息存储与传输存在泄露的风险，可能存在违反数据法规的问题。</w:t>
      </w:r>
    </w:p>
    <w:p w14:paraId="64A23381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79" w:name="_Toc199956322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6.1.2市场风险：</w:t>
      </w:r>
      <w:bookmarkEnd w:id="79"/>
    </w:p>
    <w:p w14:paraId="32BB3E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（1）金融心智提升属于新兴需求，用户可能对“AI 教练”模式持有怀疑态度，尤其是年轻群体，更倾向娱乐化或工具化产品。</w:t>
      </w:r>
    </w:p>
    <w:p w14:paraId="7A2020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（2）传统的金融APP可能通过功能扩展切入心智教育领域，挤压市场空间。</w:t>
      </w:r>
    </w:p>
    <w:p w14:paraId="4EBE771D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80" w:name="_Toc199956323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6.1.3资金风险：</w:t>
      </w:r>
      <w:bookmarkEnd w:id="80"/>
    </w:p>
    <w:p w14:paraId="020DDD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（1）API调用费用、服务器租赁等成本可能超出预算。</w:t>
      </w:r>
    </w:p>
    <w:p w14:paraId="06D966D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（2）项目初期定位为公益或低付费模式，长期可能面临着资金链断裂风险。</w:t>
      </w:r>
    </w:p>
    <w:p w14:paraId="7A8EB5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0611505">
      <w:pPr>
        <w:pStyle w:val="3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81" w:name="_Toc922"/>
      <w:bookmarkStart w:id="82" w:name="_Toc199956324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6.2风险防范及措施</w:t>
      </w:r>
      <w:bookmarkEnd w:id="81"/>
      <w:bookmarkEnd w:id="82"/>
    </w:p>
    <w:p w14:paraId="1DE505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对于上述提到的风险，以下为相应的风险防范措施：</w:t>
      </w:r>
    </w:p>
    <w:p w14:paraId="5D1051E8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83" w:name="_Toc199956325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6.2.1技术风险：</w:t>
      </w:r>
      <w:bookmarkEnd w:id="83"/>
    </w:p>
    <w:p w14:paraId="01CC45D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（1）短期内优先调用成熟的商业API，并引入用户反馈机制，实时优化回复质量。长期内与高校实验室合作，基于开源模型进行微调，降低对单一API的依赖。</w:t>
      </w:r>
    </w:p>
    <w:p w14:paraId="1336AF9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（2）采用加密传输与匿名化存储，敏感数据仅用于模型训练，并且不关联用户身份。定期进行第三方安全审计。</w:t>
      </w:r>
    </w:p>
    <w:p w14:paraId="7BD71095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84" w:name="_Toc199956326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6.2.2市场风险：</w:t>
      </w:r>
      <w:bookmarkEnd w:id="84"/>
    </w:p>
    <w:p w14:paraId="5DE86BC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（1）与高校合作开展理财活动，通过案例故事增强用户共鸣。</w:t>
      </w:r>
    </w:p>
    <w:p w14:paraId="43946E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（2）与传统理财工具形成互补，扩大使用场景。</w:t>
      </w:r>
    </w:p>
    <w:p w14:paraId="3D671F55">
      <w:pPr>
        <w:pStyle w:val="4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85" w:name="_Toc199956327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6.2.3资金风险：</w:t>
      </w:r>
      <w:bookmarkEnd w:id="85"/>
    </w:p>
    <w:p w14:paraId="72B5A3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（1）实施严格的预算控制和成本管理。</w:t>
      </w:r>
    </w:p>
    <w:p w14:paraId="073376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（2）多元化资金来源，降低财务风险。</w:t>
      </w:r>
    </w:p>
    <w:p w14:paraId="275CF1C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总之，需要根据自身项目特点和市场环境，制定适合的风险防范措施，以确保项目的持续运营和发展。同时，将风险防范措施纳入日常活动，确保风险得到及时识别、评估和控制。</w:t>
      </w:r>
    </w:p>
    <w:p w14:paraId="07094138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543BCC26">
      <w:pPr>
        <w:pStyle w:val="3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86" w:name="_Toc199956328"/>
      <w:bookmarkStart w:id="87" w:name="_Toc24801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6.3风险资本退出</w:t>
      </w:r>
      <w:bookmarkEnd w:id="86"/>
      <w:bookmarkEnd w:id="87"/>
    </w:p>
    <w:p w14:paraId="6466AC77">
      <w:pPr>
        <w:widowControl/>
        <w:tabs>
          <w:tab w:val="left" w:pos="312"/>
        </w:tabs>
        <w:spacing w:before="100" w:beforeAutospacing="1" w:after="10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若用户规模达标，可推出“会员制”增值服务，同时确保核心功能仍免费开放。</w:t>
      </w:r>
    </w:p>
    <w:p w14:paraId="1DC5CE9A">
      <w:pPr>
        <w:widowControl/>
        <w:tabs>
          <w:tab w:val="left" w:pos="312"/>
        </w:tabs>
        <w:spacing w:before="100" w:beforeAutospacing="1" w:after="10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通过技术分成实现资本退出，同时保留品牌的公益属性。</w:t>
      </w:r>
    </w:p>
    <w:p w14:paraId="5CAE2AF6">
      <w:pPr>
        <w:widowControl/>
        <w:tabs>
          <w:tab w:val="left" w:pos="312"/>
        </w:tabs>
        <w:spacing w:before="100" w:beforeAutospacing="1" w:after="100" w:afterAutospacing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无论何种退出方式，均确保用户数据安全与服务连续性，避免因资本变动而导致项目中断。</w:t>
      </w:r>
    </w:p>
    <w:p w14:paraId="61965070">
      <w:pPr>
        <w:spacing w:line="480" w:lineRule="exact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FAABFCC">
      <w:pPr>
        <w:pStyle w:val="2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bookmarkStart w:id="88" w:name="_Toc199956329"/>
      <w:bookmarkStart w:id="89" w:name="_Toc15534"/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第七章 团队介绍</w:t>
      </w:r>
      <w:bookmarkEnd w:id="88"/>
      <w:bookmarkEnd w:id="89"/>
    </w:p>
    <w:p w14:paraId="4C873A17">
      <w:pPr>
        <w:spacing w:line="48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团队成员来自沈阳航空航天大学计算机学院、经济与管理学院、民航学院、机电工程学院等多个学院，是一支跨学科、多领域融合的创新团队。团队成员专业背景多元，涵盖网络工程、金融学、飞行器质量与可靠性、机械设计制造及其自动化等专业，具备技术开发、金融分析、交互设计等多方面能力，能为项目提供全面支撑。</w:t>
      </w:r>
    </w:p>
    <w:p w14:paraId="3CDB4AA6">
      <w:pPr>
        <w:spacing w:line="48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在团队协作方面，我们建立了科学、合理的组织架构。设有技术、金融逻辑、交互体验设计、市场与运营等小组，成员分工明确且紧密协作。每周召开例会，确保信息畅通。</w:t>
      </w:r>
    </w:p>
    <w:p w14:paraId="50B4A51C">
      <w:pPr>
        <w:spacing w:line="48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团队以“提升青年金融素养”为使命，聚焦“AI+金融+教育”领域，致力于打造一个AI金融心智教练。成员曾参与多项创新创业赛事，拥有丰富的实践经验和创新精神，能将专业知识与商业知识进行有效结合，展现出对创新创业所需知识与技能的娴熟掌握。我们将充分发挥跨学科优势，努力实现项目的创新目标与社会价值。</w:t>
      </w:r>
    </w:p>
    <w:p w14:paraId="5B2B0CA0">
      <w:pPr>
        <w:spacing w:line="480" w:lineRule="exac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417D4350">
      <w:pPr>
        <w:pStyle w:val="18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bookmarkStart w:id="90" w:name="OLE_LINK1"/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引领教育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</w:t>
      </w:r>
    </w:p>
    <w:p w14:paraId="0B8EA2C8">
      <w:pPr>
        <w:pStyle w:val="1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教育理念创新：构建“心智+技能”双螺旋教育模式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</w:t>
      </w:r>
    </w:p>
    <w:p w14:paraId="442DEF12">
      <w:pPr>
        <w:pStyle w:val="1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传统金融教育多停留在知识灌输与工具应用层面，难以触及用户决策背后的认知偏差与行为惯性。“财赋思”项目创造性地将行为金融学理论与人工智能技术深度融合，构建“金融心智培养-行为习惯矫正-实践能力提升”三位一体的教育闭环。通过AI教练的深度互动与情景化训练，引导用户在真实决策场景中识别心理陷阱、重塑思维模式，实现从“知道”到“做到”的跨越，开创了以“心智成长”为核心的沉浸式金融教育新范式。</w:t>
      </w:r>
    </w:p>
    <w:p w14:paraId="1A0574EF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教学模式革新：AI驱动个性化终身学习体系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</w:t>
      </w:r>
    </w:p>
    <w:p w14:paraId="471FC7E4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项目突破传统教育标准化、单向化的局限，基于大语言模型的智能诊断与动态适配能力，打造千人千面的个性化学习路径：</w:t>
      </w:r>
    </w:p>
    <w:p w14:paraId="61A6E22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1）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精准教育画像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​：通过金融认知评估、行为数据分析构建用户专属心智图谱，定位知识盲区与认知短板。</w:t>
      </w:r>
    </w:p>
    <w:p w14:paraId="48AC36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2）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自适应学习引擎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​：根据用户学习进度、情绪反馈实时调整教学内容难度与呈现方式，实现“问题出现即教育发生”的即时干预。</w:t>
      </w:r>
    </w:p>
    <w:p w14:paraId="5771307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3）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终身成长陪伴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​：覆盖大学生理财启蒙、职场新人财务规划、家庭资产配置等全生命周期场景，提供7×24小时持续进化的学习支持。</w:t>
      </w:r>
    </w:p>
    <w:p w14:paraId="7F8A2C96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社会价值引领：赋能青年群体的金融素养革命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</w:t>
      </w:r>
    </w:p>
    <w:p w14:paraId="78AB82DF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项目直击我国青年群体金融素养薄弱的社会痛点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实现与国家战略的同频共振。</w:t>
      </w:r>
    </w:p>
    <w:p w14:paraId="33B89F23">
      <w:pPr>
        <w:pStyle w:val="11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表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instrText xml:space="preserve"> SEQ 表 \* ARABIC </w:instrTex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1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中国居民金融素养问卷调查样本年龄分布</w:t>
      </w:r>
    </w:p>
    <w:p w14:paraId="17F713B5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5271135" cy="2534285"/>
            <wp:effectExtent l="0" t="0" r="5715" b="889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E9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drawing>
          <wp:inline distT="0" distB="0" distL="114300" distR="114300">
            <wp:extent cx="5274310" cy="3138805"/>
            <wp:effectExtent l="0" t="0" r="254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4C3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1EEE8DC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风险防范前移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​：通过模拟投资决策、消费陷阱案例分析等模块，帮助年轻人识别校园贷、非法集资等金融风险，筑牢风险防范意识。</w:t>
      </w:r>
    </w:p>
    <w:p w14:paraId="14E6F2A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理性决策赋能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​：运用“损失厌恶模拟器”“从众心理压力测试”等工具，培养用户在市场波动中的独立思考能力，助力国家投资者教育工程。</w:t>
      </w:r>
    </w:p>
    <w:p w14:paraId="684A79C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财商普惠实践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​：以游戏化、低门槛的方式降低金融学习成本，让偏远地区学生、新市民等群体获得平等教育机会，助推共同富裕。</w:t>
      </w:r>
    </w:p>
    <w:p w14:paraId="361AFB49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教育生态示范：交叉学科赋能新文科建设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</w:t>
      </w:r>
    </w:p>
    <w:p w14:paraId="269B71BF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项目深度融合计算机科学、行为经济学、认知心理学等多学科前沿成果，为新时代“新文科”建设提供实践样板：</w:t>
      </w:r>
    </w:p>
    <w:p w14:paraId="58DA4D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1）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方法论创新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​：首创“AI心智教练”教育模型，为金融学、心理学等学科提供可复制的智能教育工具开发范式。</w:t>
      </w:r>
    </w:p>
    <w:p w14:paraId="789957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2）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课程体系拓展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​：项目衍生的《行为金融学智能实训教程》《AI+金融素养教育设计》等教学资源，已与**大学经济学院展开课程共建合作。</w:t>
      </w:r>
    </w:p>
    <w:p w14:paraId="1CC9C1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3）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产研协同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​：通过用户行为数据反哺学术研究，为高校金融认知实验室提供真实世界研究样本，形成“教育应用-数据积累-理论创新”的良性循环。</w:t>
      </w:r>
    </w:p>
    <w:p w14:paraId="2CF410F7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教育公平实践：科技弥合素养鸿沟的先锋探索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</w:t>
      </w:r>
    </w:p>
    <w:p w14:paraId="2E9D6607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项目依托AI技术突破传统教育资源的时空限制：</w:t>
      </w:r>
    </w:p>
    <w:p w14:paraId="0E91AF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1）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普惠性覆盖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​：通过微信小程序/轻量化APP实现“一端通达”，使西部高校学生、残障人士等特殊群体均可获得专业级金融辅导。</w:t>
      </w:r>
    </w:p>
    <w:p w14:paraId="454BE84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2）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文化适应性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​：开发方言交互模块（如藏语、维吾尔语版AI教练），尊重多元文化背景下的教育需求差异。</w:t>
      </w:r>
    </w:p>
    <w:p w14:paraId="6A92E2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3）</w:t>
      </w: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教育OMO融合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​：线上AI教练与线下高校讲座、社区工作坊联动，构建“人工智能+人类导师”混合式教育网络。</w:t>
      </w:r>
    </w:p>
    <w:p w14:paraId="63B69324"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第八章、带动就业</w:t>
      </w:r>
    </w:p>
    <w:p w14:paraId="5E7F6F51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一、直接就业岗位创造</w:t>
      </w:r>
    </w:p>
    <w:p w14:paraId="091C1F8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</w:rPr>
        <w:t>项目研发阶段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​</w:t>
      </w:r>
    </w:p>
    <w:p w14:paraId="007D378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核心技术岗位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​：项目将直接吸纳人工智能算法工程师、全栈开发工程师、金融数据建模师等专业人才，预计带动15-20个高附加值技术岗位；</w:t>
      </w:r>
    </w:p>
    <w:p w14:paraId="6284330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跨学科协同岗位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​：通过计算机、金融、机电三大学科交叉协作，创造AI交互设计师、行为金融分析师、用户体验优化师等新兴复合型岗位，预计新增8-10个就业机会；</w:t>
      </w:r>
    </w:p>
    <w:p w14:paraId="4778E1A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3）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产学研转化岗位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​：联合高校实验室设立金融科技研究助理岗位，为在校研究生提供实践机会，预计培养5-8名具备实战能力的金融科技人才。</w:t>
      </w:r>
    </w:p>
    <w:p w14:paraId="6AB503BB">
      <w:pPr>
        <w:pStyle w:val="18"/>
        <w:keepNext w:val="0"/>
        <w:keepLines w:val="0"/>
        <w:widowControl/>
        <w:suppressLineNumbers w:val="0"/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项目运营阶段</w:t>
      </w:r>
    </w:p>
    <w:p w14:paraId="0318C20F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数字化服务岗位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​：建立AI教练训练师团队（负责优化Prompt工程）、用户行为数据分析师、智能客服工程师等岗位，预计创造30+新型就业岗位；</w:t>
      </w:r>
    </w:p>
    <w:p w14:paraId="75F21D1A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内容运营生态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​：组建金融科普内容创作团队，包含财经编辑、互动剧本设计师、案例研究员等岗位，预计带动10-15个知识服务类就业；</w:t>
      </w:r>
    </w:p>
    <w:p w14:paraId="18751836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3）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区域服务中心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​：在重点城市设立用户运营中心，提供本地化理财辅导顾问岗位，预计解决50+基层服务人员就业。</w:t>
      </w:r>
    </w:p>
    <w:p w14:paraId="6BC4983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二、产业链协同就业带动</w:t>
      </w:r>
    </w:p>
    <w:p w14:paraId="5C786614">
      <w:pPr>
        <w:pStyle w:val="4"/>
        <w:keepNext w:val="0"/>
        <w:keepLines w:val="0"/>
        <w:widowControl/>
        <w:suppressLineNumbers w:val="0"/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上游技术产业链</w:t>
      </w:r>
    </w:p>
    <w:p w14:paraId="03C6D88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推动AI大模型定制开发需求，促进云计算服务商、数据标注企业等技术供应商扩容技术团队，预计间接带动100+人工智能产业链岗位；</w:t>
      </w:r>
    </w:p>
    <w:p w14:paraId="0B4E06EB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刺激行为金融学研究机构与高校联合实验室建设，新增科研助理、数据采集员等岗位20+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466C8EA7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下游服务生态链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</w:t>
      </w:r>
    </w:p>
    <w:p w14:paraId="7794400A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通过开放API接口与金融机构合作，为银行、证券公司培养200+具备AI工具使用能力的数字化理财顾问；</w:t>
      </w:r>
    </w:p>
    <w:p w14:paraId="36E56009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孵化金融心智培训师认证体系，预计3年内培养1000名持证金融教练，推动知识付费行业就业升级。</w:t>
      </w:r>
    </w:p>
    <w:p w14:paraId="73D912D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三、群体就业能力提升</w:t>
      </w:r>
    </w:p>
    <w:p w14:paraId="7D0EC8DE">
      <w:pPr>
        <w:pStyle w:val="4"/>
        <w:keepNext w:val="0"/>
        <w:keepLines w:val="0"/>
        <w:widowControl/>
        <w:suppressLineNumbers w:val="0"/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用户职业发展赋能</w:t>
      </w:r>
    </w:p>
    <w:p w14:paraId="63BF2421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每年为10万+大学生提供金融素养培训，通过"认知偏差诊断-决策能力提升-实战模拟训练"三维培养体系，显著增强求职竞争力；</w:t>
      </w:r>
    </w:p>
    <w:p w14:paraId="294D0641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建立"金融心智证书"认证体系，帮助用户获得行业认可的资质证明，提升在金融、销售、管理等岗位的就业成功率。</w:t>
      </w:r>
    </w:p>
    <w:p w14:paraId="44535344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特殊群体就业支持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</w:t>
      </w:r>
    </w:p>
    <w:p w14:paraId="0630CF2B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开发残障人士友好型交互系统，为视障群体提供语音金融教练服务，配套培养20名无障碍交互设计师；</w:t>
      </w:r>
    </w:p>
    <w:p w14:paraId="22F55D24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与妇联合作推出"家庭CFO培养计划"，帮助全职主妇掌握理财技能，每年支持500+女性实现灵活就业。</w:t>
      </w:r>
    </w:p>
    <w:p w14:paraId="46D2A80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四、创新创业生态培育</w:t>
      </w:r>
    </w:p>
    <w:p w14:paraId="1465196F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开发者生态建设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</w:t>
      </w:r>
    </w:p>
    <w:p w14:paraId="5F83B53A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开放部分AI教练模块源代码，举办金融科技创客马拉松，预计每年孵化20+创业团队；</w:t>
      </w:r>
    </w:p>
    <w:p w14:paraId="798D5CBF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建立大学生创新创业实践基地，提供项目孵化、技术指导、资源对接等支持，3年内培育50+校园创业项目。</w:t>
      </w:r>
    </w:p>
    <w:p w14:paraId="57979CD3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小微企业赋能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</w:t>
      </w:r>
    </w:p>
    <w:p w14:paraId="630F529F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开发"店主财富心智系统"，为个体工商户提供现金流管理AI助手，预计帮助5万家小微商户改善经营状况；</w:t>
      </w:r>
    </w:p>
    <w:p w14:paraId="3044BD4F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通过用户数据分析反向赋能金融机构，催生智能投顾产品经理、金融科技产品设计师等新兴职业。</w:t>
      </w:r>
    </w:p>
    <w:p w14:paraId="4CD674E8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社会效益量化预估</w:t>
      </w:r>
    </w:p>
    <w:p w14:paraId="74BA3DDD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直接就业指标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</w:t>
      </w:r>
    </w:p>
    <w:p w14:paraId="0F05FFA5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项目周期内直接创造技术类岗位60+、服务类岗位100+、管理类岗位20+产学研合作培养复合型人才200+，输送至金融科技企业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66B6B11C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间接就业带动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</w:t>
      </w:r>
    </w:p>
    <w:p w14:paraId="345486A6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拉动人工智能、云计算、金融咨询等行业新增岗位300+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39CF07F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促进区域数字经济产业园建设，形成年均5000万产值规模的金融科技服务集群</w:t>
      </w:r>
    </w:p>
    <w:p w14:paraId="605CE5E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六、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地方就业政策深度衔接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</w:t>
      </w:r>
    </w:p>
    <w:p w14:paraId="5194308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（一）区域重点政策对接</w:t>
      </w:r>
    </w:p>
    <w:p w14:paraId="0F01A46B">
      <w:pPr>
        <w:pStyle w:val="11"/>
        <w:jc w:val="center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表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SEQ 表 \* ARABIC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区域重点政策对接</w:t>
      </w:r>
    </w:p>
    <w:tbl>
      <w:tblPr>
        <w:tblStyle w:val="20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7"/>
        <w:gridCol w:w="2750"/>
        <w:gridCol w:w="3769"/>
      </w:tblGrid>
      <w:tr w14:paraId="150B5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7412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​</w:t>
            </w: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政策名称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68A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​</w:t>
            </w: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衔接点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67A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​</w:t>
            </w: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项目落地方案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</w:tr>
      <w:tr w14:paraId="1E114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F23B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​</w:t>
            </w: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粤港澳大湾区金融人才计划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3785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对金融科技企业新增岗位给予每人3万元用人补贴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872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深圳运营中心优先招聘港澳籍毕业生，2024年计划申领补贴覆盖15个岗位</w:t>
            </w:r>
          </w:p>
        </w:tc>
      </w:tr>
      <w:tr w14:paraId="27065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09E6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​</w:t>
            </w: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江苏省数字经济促进条例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E46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将“AI+金融”实训基地纳入产教融合重点支持项目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26D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与苏州工业园共建金融科技实训基地，享受场地租金减免50%政策</w:t>
            </w:r>
          </w:p>
        </w:tc>
      </w:tr>
      <w:tr w14:paraId="568A8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4DB1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​</w:t>
            </w:r>
            <w:r>
              <w:rPr>
                <w:rStyle w:val="23"/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成都蓉漂计划2.0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8A0D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对人工智能核心人才提供最高300万元安家补贴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745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引入3名金融AI算法领军人才，已进入蓉聘计划绿色通道</w:t>
            </w:r>
          </w:p>
        </w:tc>
      </w:tr>
    </w:tbl>
    <w:p w14:paraId="10AE987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特殊群体就业扶持​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东西部协作工程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​ </w:t>
      </w:r>
    </w:p>
    <w:p w14:paraId="6F0C21F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outlineLvl w:val="3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在甘肃临夏州建立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远程培训中心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，配套“三个一”工程：</w:t>
      </w:r>
    </w:p>
    <w:p w14:paraId="2A1E8E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7960" cy="2154555"/>
            <wp:effectExtent l="0" t="0" r="8890" b="7620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F044"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center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图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SEQ 图 \* ARABIC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“三个一“工程</w:t>
      </w:r>
    </w:p>
    <w:p w14:paraId="1AF4E69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outlineLvl w:val="2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永不止步的未来</w:t>
      </w:r>
    </w:p>
    <w:p w14:paraId="7B28A8CF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财赋思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不仅是一个AI金融教练应用，更是用户终身财务健康的陪伴者。未来，我们将以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“金融心智操作系统”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为核心理念，构建三层战略蓝图：</w:t>
      </w:r>
    </w:p>
    <w:p w14:paraId="3D30F1A9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0975" cy="992505"/>
            <wp:effectExtent l="0" t="0" r="6350" b="7620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82F2">
      <w:pPr>
        <w:pStyle w:val="11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图 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instrText xml:space="preserve"> SEQ 图 \* ARABIC </w:instrTex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 xml:space="preserve"> 三层战略蓝图</w:t>
      </w:r>
    </w:p>
    <w:p w14:paraId="5B39F18E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一、技术进化：AI心智教练的深度赋能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</w:t>
      </w:r>
    </w:p>
    <w:p w14:paraId="55A137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多模态交互升级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​ </w:t>
      </w:r>
    </w:p>
    <w:p w14:paraId="1CCCFA0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融合语音情感识别、视觉化财务数据解读（如账单智能分析），实现更自然的“对话式理财”。探索轻量化本地模型部署，在保护隐私的同时降低API依赖成本。</w:t>
      </w:r>
    </w:p>
    <w:p w14:paraId="2CA9D42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动态心智图谱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​ </w:t>
      </w:r>
    </w:p>
    <w:p w14:paraId="541501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基于持续用户行为数据，构建个人“金融心智DNA”模型，实时预测认知偏差风险（如牛市中的过度自信），主动干预潜在非理性决策。</w:t>
      </w:r>
    </w:p>
    <w:p w14:paraId="5540CD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跨平台无缝体验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​ </w:t>
      </w:r>
    </w:p>
    <w:p w14:paraId="05DCC8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打通智能穿戴设备（如消费实时提醒）、银行API（安全授权下的支出分析），打造“无感式”心智教练服务。</w:t>
      </w:r>
    </w:p>
    <w:p w14:paraId="773AEFF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二、生态扩展：从工具到金融健康社区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</w:t>
      </w:r>
    </w:p>
    <w:p w14:paraId="354BDE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企业端赋能计划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​ </w:t>
      </w:r>
    </w:p>
    <w:p w14:paraId="5A21CC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为高校定制“青年金融素养课程”，与企业合作开发“员工财务健康计划”（EAP+），解决薪酬规划、养老储备等痛点。</w:t>
      </w:r>
    </w:p>
    <w:p w14:paraId="137BF9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家庭财富单元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​ </w:t>
      </w:r>
    </w:p>
    <w:p w14:paraId="017ACD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推出“家庭版”财赋思，识别家庭共同账户中的群体认知偏差（如从众性投资），优化共同财务决策。</w:t>
      </w:r>
    </w:p>
    <w:p w14:paraId="34C5760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开放平台战略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​ </w:t>
      </w:r>
    </w:p>
    <w:p w14:paraId="459E2B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向合规金融机构开放API，在用户授权下提供“心智健康评分”，辅助定制化理财服务，构建B2B2C商业模式。</w:t>
      </w:r>
    </w:p>
    <w:p w14:paraId="2F56E81D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三、社会价值：推动金融认知平权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</w:t>
      </w:r>
    </w:p>
    <w:p w14:paraId="3F0774D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普惠金融实践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​ </w:t>
      </w:r>
    </w:p>
    <w:p w14:paraId="4FD98822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开发低带宽版本与方言交互功能，覆盖县域及老年群体，破解金融知识资源分布不均问题。</w:t>
      </w:r>
    </w:p>
    <w:p w14:paraId="179C05A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政策智库协作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​ </w:t>
      </w:r>
    </w:p>
    <w:p w14:paraId="7FEEDAC1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联合研究机构发布《中国居民金融心智白皮书》，为投资者教育政策提供行为学实证支持。</w:t>
      </w:r>
    </w:p>
    <w:p w14:paraId="203B095C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全球本土化探索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​ </w:t>
      </w:r>
    </w:p>
    <w:p w14:paraId="522BE3B4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适配东南亚、非洲等新兴市场，输出“金融心智干预方法论”，助力全球金融包容性发展。</w:t>
      </w:r>
    </w:p>
    <w:p w14:paraId="0337704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四、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终极愿景：重新定义财富的意义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</w:t>
      </w:r>
    </w:p>
    <w:p w14:paraId="5627EC45">
      <w:pPr>
        <w:pStyle w:val="18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财赋思的终点不是财富数字的增长，而是让用户建立</w:t>
      </w:r>
      <w:r>
        <w:rPr>
          <w:rStyle w:val="23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“财富与幸福的正反馈循环”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。通过持续的心智训练，我们期待见证：</w:t>
      </w:r>
    </w:p>
    <w:p w14:paraId="4C71C6C7">
      <w:pPr>
        <w:pStyle w:val="18"/>
        <w:keepNext w:val="0"/>
        <w:keepLines w:val="0"/>
        <w:widowControl/>
        <w:suppressLineNumbers w:val="0"/>
        <w:ind w:left="720" w:right="72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24"/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“当用户面对市场波动时不再焦虑，规划人生目标时充满底气——这才是真正的财务自由。”</w:t>
      </w:r>
    </w:p>
    <w:p w14:paraId="57D059B3">
      <w:pPr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5D8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bookmarkEnd w:id="90"/>
    <w:p w14:paraId="2546542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E7C8BBC">
      <w:pPr>
        <w:widowControl/>
        <w:jc w:val="left"/>
        <w:rPr>
          <w:rFonts w:hint="eastAsia" w:ascii="宋体" w:hAnsi="宋体" w:eastAsia="宋体" w:cs="宋体"/>
          <w:kern w:val="0"/>
          <w:sz w:val="24"/>
          <w:szCs w:val="24"/>
        </w:rPr>
      </w:pPr>
    </w:p>
    <w:p w14:paraId="4FD76861">
      <w:pPr>
        <w:widowControl/>
        <w:spacing w:before="100" w:beforeAutospacing="1" w:after="100" w:afterAutospacing="1"/>
        <w:ind w:left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2001AFC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602731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6ABF111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3FCFF0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07F2473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</w:t>
      </w:r>
    </w:p>
    <w:p w14:paraId="71EEFB07">
      <w:pPr>
        <w:rPr>
          <w:rFonts w:hint="eastAsia" w:ascii="宋体" w:hAnsi="宋体" w:eastAsia="宋体" w:cs="宋体"/>
          <w:sz w:val="24"/>
          <w:szCs w:val="24"/>
        </w:rPr>
      </w:pPr>
    </w:p>
    <w:bookmarkEnd w:id="91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07326867"/>
      <w:docPartObj>
        <w:docPartGallery w:val="autotext"/>
      </w:docPartObj>
    </w:sdtPr>
    <w:sdtContent>
      <w:p w14:paraId="52377C55">
        <w:pPr>
          <w:pStyle w:val="13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60CF3AB">
    <w:pPr>
      <w:pStyle w:val="1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174A1">
    <w:pPr>
      <w:pStyle w:val="14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E2EDEA"/>
    <w:multiLevelType w:val="singleLevel"/>
    <w:tmpl w:val="28E2EDEA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82FD570"/>
    <w:multiLevelType w:val="singleLevel"/>
    <w:tmpl w:val="382FD570"/>
    <w:lvl w:ilvl="0" w:tentative="0">
      <w:start w:val="8"/>
      <w:numFmt w:val="chineseCounting"/>
      <w:suff w:val="nothing"/>
      <w:lvlText w:val="第%1章、"/>
      <w:lvlJc w:val="left"/>
      <w:rPr>
        <w:rFonts w:hint="eastAsia" w:ascii="黑体" w:hAnsi="黑体" w:eastAsia="黑体" w:cs="黑体"/>
        <w:sz w:val="28"/>
        <w:szCs w:val="28"/>
      </w:rPr>
    </w:lvl>
  </w:abstractNum>
  <w:abstractNum w:abstractNumId="2">
    <w:nsid w:val="64F16F98"/>
    <w:multiLevelType w:val="singleLevel"/>
    <w:tmpl w:val="64F16F98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JlNjY2ZThjMjlkYTA1Y2Y0NTUxMzg0ZTg1ZWNmNTIifQ=="/>
    <w:docVar w:name="KSO_WPS_MARK_KEY" w:val="1d384e20-8249-4d85-87ae-1b4a9ea08dd3"/>
  </w:docVars>
  <w:rsids>
    <w:rsidRoot w:val="00140F16"/>
    <w:rsid w:val="000C6FA1"/>
    <w:rsid w:val="00140F16"/>
    <w:rsid w:val="00157A39"/>
    <w:rsid w:val="0028599E"/>
    <w:rsid w:val="005B3118"/>
    <w:rsid w:val="005C2DC9"/>
    <w:rsid w:val="006D2B0D"/>
    <w:rsid w:val="007D5F96"/>
    <w:rsid w:val="00AF5B1D"/>
    <w:rsid w:val="00D433A1"/>
    <w:rsid w:val="04463CB4"/>
    <w:rsid w:val="0DB25F8E"/>
    <w:rsid w:val="37907CB6"/>
    <w:rsid w:val="422C5607"/>
    <w:rsid w:val="447A7D34"/>
    <w:rsid w:val="491A440C"/>
    <w:rsid w:val="4C6C7811"/>
    <w:rsid w:val="508F3D10"/>
    <w:rsid w:val="58BD1CA3"/>
    <w:rsid w:val="6A58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2">
    <w:name w:val="Default Paragraph Font"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footer"/>
    <w:basedOn w:val="1"/>
    <w:link w:val="4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Subtitle"/>
    <w:basedOn w:val="1"/>
    <w:next w:val="1"/>
    <w:link w:val="3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3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1">
    <w:name w:val="Table Grid"/>
    <w:basedOn w:val="20"/>
    <w:qFormat/>
    <w:uiPriority w:val="99"/>
    <w:rPr>
      <w:rFonts w:ascii="Times New Roman" w:hAnsi="Times New Roman" w:eastAsia="Times New Roman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Emphasis"/>
    <w:basedOn w:val="22"/>
    <w:qFormat/>
    <w:uiPriority w:val="0"/>
    <w:rPr>
      <w:i/>
    </w:rPr>
  </w:style>
  <w:style w:type="character" w:styleId="25">
    <w:name w:val="Hyperlink"/>
    <w:basedOn w:val="22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7">
    <w:name w:val="标题 2 字符"/>
    <w:basedOn w:val="22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8">
    <w:name w:val="标题 3 字符"/>
    <w:basedOn w:val="22"/>
    <w:link w:val="4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9">
    <w:name w:val="标题 4 字符"/>
    <w:basedOn w:val="22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30">
    <w:name w:val="标题 5 字符"/>
    <w:basedOn w:val="22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1">
    <w:name w:val="标题 6 字符"/>
    <w:basedOn w:val="22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2">
    <w:name w:val="标题 7 字符"/>
    <w:basedOn w:val="22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8 字符"/>
    <w:basedOn w:val="22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9 字符"/>
    <w:basedOn w:val="22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字符"/>
    <w:basedOn w:val="22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副标题 字符"/>
    <w:basedOn w:val="22"/>
    <w:link w:val="16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引用 字符"/>
    <w:basedOn w:val="22"/>
    <w:link w:val="3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Intense Emphasis"/>
    <w:basedOn w:val="22"/>
    <w:qFormat/>
    <w:uiPriority w:val="21"/>
    <w:rPr>
      <w:i/>
      <w:iCs/>
      <w:color w:val="104862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2">
    <w:name w:val="明显引用 字符"/>
    <w:basedOn w:val="22"/>
    <w:link w:val="41"/>
    <w:qFormat/>
    <w:uiPriority w:val="30"/>
    <w:rPr>
      <w:i/>
      <w:iCs/>
      <w:color w:val="104862" w:themeColor="accent1" w:themeShade="BF"/>
    </w:rPr>
  </w:style>
  <w:style w:type="character" w:customStyle="1" w:styleId="43">
    <w:name w:val="Intense Reference"/>
    <w:basedOn w:val="22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4">
    <w:name w:val="页眉 字符"/>
    <w:basedOn w:val="22"/>
    <w:link w:val="14"/>
    <w:qFormat/>
    <w:uiPriority w:val="99"/>
    <w:rPr>
      <w:sz w:val="18"/>
      <w:szCs w:val="18"/>
    </w:rPr>
  </w:style>
  <w:style w:type="character" w:customStyle="1" w:styleId="45">
    <w:name w:val="页脚 字符"/>
    <w:basedOn w:val="22"/>
    <w:link w:val="13"/>
    <w:qFormat/>
    <w:uiPriority w:val="99"/>
    <w:rPr>
      <w:sz w:val="18"/>
      <w:szCs w:val="18"/>
    </w:rPr>
  </w:style>
  <w:style w:type="paragraph" w:customStyle="1" w:styleId="46">
    <w:name w:val="一级"/>
    <w:basedOn w:val="1"/>
    <w:next w:val="1"/>
    <w:qFormat/>
    <w:uiPriority w:val="0"/>
    <w:pPr>
      <w:keepNext/>
      <w:keepLines/>
      <w:spacing w:before="160" w:after="80"/>
      <w:outlineLvl w:val="1"/>
    </w:pPr>
    <w:rPr>
      <w:rFonts w:hint="eastAsia" w:ascii="黑体" w:hAnsi="黑体" w:eastAsia="黑体" w:cs="黑体"/>
      <w:color w:val="auto"/>
      <w:sz w:val="28"/>
      <w:szCs w:val="24"/>
    </w:rPr>
  </w:style>
  <w:style w:type="paragraph" w:customStyle="1" w:styleId="47">
    <w:name w:val="二级"/>
    <w:basedOn w:val="1"/>
    <w:qFormat/>
    <w:uiPriority w:val="0"/>
    <w:pPr>
      <w:tabs>
        <w:tab w:val="left" w:pos="312"/>
      </w:tabs>
    </w:pPr>
    <w:rPr>
      <w:rFonts w:hint="eastAsia" w:ascii="宋体" w:hAnsi="宋体" w:eastAsia="黑体" w:cs="宋体"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D32C5-3659-4854-A51F-B1E1EDA60A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9926</Words>
  <Characters>10573</Characters>
  <Lines>141</Lines>
  <Paragraphs>39</Paragraphs>
  <TotalTime>7</TotalTime>
  <ScaleCrop>false</ScaleCrop>
  <LinksUpToDate>false</LinksUpToDate>
  <CharactersWithSpaces>10957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2025-06-04T10:15:00Z</dcterms:created>
  <dc:creator>3490104822@qq.com</dc:creator>
  <cp:lastModifiedBy>Spidreham</cp:lastModifiedBy>
  <dcterms:modified xsi:type="dcterms:W3CDTF">2025-06-04T14:28:43Z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BF9F6208787F4CA89E65F8B75EA91D40_13</vt:lpwstr>
  </property>
  <property fmtid="{D5CDD505-2E9C-101B-9397-08002B2CF9AE}" pid="4" name="KSOTemplateDocerSaveRecord">
    <vt:lpwstr>eyJoZGlkIjoiMGQzZjY4ODU4MjQ0MWYyY2I5ZWM4Y2MwOTFmZWJlNzciLCJ1c2VySWQiOiIxNTA1NDEzMzU5In0=</vt:lpwstr>
  </property>
</Properties>
</file>