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b/>
          <w:sz w:val="28"/>
          <w:szCs w:val="28"/>
        </w:rPr>
        <w:id w:val="-982233210"/>
        <w:docPartObj>
          <w:docPartGallery w:val="Table of Contents"/>
          <w:docPartUnique/>
        </w:docPartObj>
      </w:sdtPr>
      <w:sdtEndPr>
        <w:rPr>
          <w:rFonts w:hint="default" w:ascii="Times New Roman" w:hAnsi="Times New Roman" w:cs="Times New Roman"/>
          <w:b/>
          <w:sz w:val="28"/>
          <w:szCs w:val="28"/>
          <w:lang w:val="zh-CN"/>
        </w:rPr>
      </w:sdtEndPr>
      <w:sdtContent>
        <w:p w14:paraId="185C09CC">
          <w:pPr>
            <w:spacing w:before="760"/>
            <w:jc w:val="center"/>
            <w:rPr>
              <w:rFonts w:hint="eastAsia"/>
            </w:rPr>
          </w:pPr>
          <w:r>
            <w:rPr>
              <w:rFonts w:ascii="Times New Roman" w:hAnsi="Times New Roman" w:eastAsia="黑体"/>
              <w:b/>
              <w:sz w:val="30"/>
            </w:rPr>
            <w:t>2026 年第八届全球校园人工智能算法精英大赛</w:t>
          </w:r>
        </w:p>
        <w:p w14:paraId="1DF08B90">
          <w:pPr>
            <w:spacing w:after="1700"/>
            <w:jc w:val="center"/>
            <w:rPr>
              <w:rFonts w:hint="eastAsia"/>
            </w:rPr>
          </w:pPr>
          <w:r>
            <w:rPr>
              <w:rFonts w:ascii="Times New Roman" w:hAnsi="Times New Roman" w:eastAsia="宋体"/>
              <w:sz w:val="26"/>
            </w:rPr>
            <w:t xml:space="preserve"> AI+学科交叉赛道</w:t>
          </w:r>
        </w:p>
        <w:p w14:paraId="3026CC7C">
          <w:pPr>
            <w:pStyle w:val="36"/>
            <w:jc w:val="center"/>
          </w:pPr>
          <w:r>
            <w:t>青盈 YouthGain</w:t>
          </w:r>
        </w:p>
        <w:p w14:paraId="5B7F7B39">
          <w:pPr>
            <w:spacing w:after="400"/>
            <w:jc w:val="center"/>
            <w:rPr>
              <w:rFonts w:hint="eastAsia"/>
            </w:rPr>
          </w:pPr>
          <w:r>
            <w:rPr>
              <w:rFonts w:ascii="Times New Roman" w:hAnsi="Times New Roman" w:eastAsia="黑体"/>
              <w:b/>
              <w:sz w:val="34"/>
            </w:rPr>
            <w:t>面向大学生金融素养培养的智能实践平台</w:t>
          </w:r>
        </w:p>
        <w:p w14:paraId="5D62BCF4">
          <w:pPr>
            <w:spacing w:after="240"/>
            <w:jc w:val="center"/>
            <w:rPr>
              <w:rFonts w:hint="eastAsia"/>
            </w:rPr>
          </w:pPr>
          <w:r>
            <w:t>交叉学科  金融学与行为经济学  人工智能  教育应用</w:t>
          </w:r>
        </w:p>
        <w:p w14:paraId="2FF7CFA8">
          <w:pPr>
            <w:spacing w:after="240"/>
            <w:jc w:val="center"/>
            <w:rPr>
              <w:rFonts w:hint="eastAsia"/>
            </w:rPr>
          </w:pPr>
          <w:r>
            <w:t>作者  宋鑫琳  侯森宝  李美涵</w:t>
          </w:r>
        </w:p>
        <w:p w14:paraId="50E632E7">
          <w:pPr>
            <w:spacing w:after="240"/>
            <w:jc w:val="center"/>
            <w:rPr>
              <w:rFonts w:hint="eastAsia"/>
            </w:rPr>
          </w:pPr>
          <w:r>
            <w:t>2026 年 10 月 14 日</w:t>
          </w:r>
        </w:p>
        <w:p w14:paraId="71CDF4BB">
          <w:pPr>
            <w:spacing w:line="360" w:lineRule="auto"/>
            <w:jc w:val="center"/>
            <w:rPr>
              <w:rFonts w:hint="default" w:ascii="Times New Roman" w:hAnsi="Times New Roman" w:cs="Times New Roman"/>
              <w:b/>
              <w:sz w:val="28"/>
              <w:szCs w:val="28"/>
            </w:rPr>
          </w:pPr>
        </w:p>
        <w:p w14:paraId="3AC9C843">
          <w:pPr>
            <w:spacing w:line="360" w:lineRule="auto"/>
            <w:jc w:val="center"/>
            <w:rPr>
              <w:rFonts w:hint="default" w:ascii="Times New Roman" w:hAnsi="Times New Roman" w:cs="Times New Roman"/>
              <w:b/>
              <w:sz w:val="28"/>
              <w:szCs w:val="28"/>
            </w:rPr>
          </w:pPr>
        </w:p>
        <w:p w14:paraId="45F8F9D9">
          <w:pPr>
            <w:spacing w:line="360" w:lineRule="auto"/>
            <w:jc w:val="center"/>
            <w:rPr>
              <w:rFonts w:hint="default" w:ascii="Times New Roman" w:hAnsi="Times New Roman" w:cs="Times New Roman"/>
              <w:b/>
              <w:sz w:val="28"/>
              <w:szCs w:val="28"/>
            </w:rPr>
          </w:pPr>
        </w:p>
        <w:p w14:paraId="61F29709">
          <w:pPr>
            <w:spacing w:line="360" w:lineRule="auto"/>
            <w:jc w:val="center"/>
            <w:rPr>
              <w:rFonts w:hint="default" w:ascii="Times New Roman" w:hAnsi="Times New Roman" w:cs="Times New Roman"/>
              <w:b/>
              <w:sz w:val="28"/>
              <w:szCs w:val="28"/>
            </w:rPr>
          </w:pPr>
        </w:p>
        <w:p w14:paraId="5170087E">
          <w:pPr>
            <w:spacing w:line="360" w:lineRule="auto"/>
            <w:jc w:val="center"/>
            <w:rPr>
              <w:rFonts w:hint="default" w:ascii="Times New Roman" w:hAnsi="Times New Roman" w:cs="Times New Roman"/>
              <w:b/>
              <w:sz w:val="28"/>
              <w:szCs w:val="28"/>
            </w:rPr>
          </w:pPr>
        </w:p>
        <w:p w14:paraId="4AB409B2">
          <w:pPr>
            <w:spacing w:line="360" w:lineRule="auto"/>
            <w:jc w:val="center"/>
            <w:rPr>
              <w:rFonts w:hint="default" w:ascii="Times New Roman" w:hAnsi="Times New Roman" w:cs="Times New Roman"/>
              <w:b/>
              <w:sz w:val="28"/>
              <w:szCs w:val="28"/>
            </w:rPr>
          </w:pPr>
        </w:p>
        <w:p w14:paraId="66490B20">
          <w:pPr>
            <w:spacing w:line="360" w:lineRule="auto"/>
            <w:jc w:val="center"/>
            <w:rPr>
              <w:rFonts w:hint="default" w:ascii="Times New Roman" w:hAnsi="Times New Roman" w:cs="Times New Roman"/>
              <w:b/>
              <w:sz w:val="28"/>
              <w:szCs w:val="28"/>
            </w:rPr>
          </w:pPr>
        </w:p>
        <w:p w14:paraId="74C51A5F">
          <w:pPr>
            <w:spacing w:line="360" w:lineRule="auto"/>
            <w:jc w:val="center"/>
            <w:rPr>
              <w:rFonts w:hint="default" w:ascii="Times New Roman" w:hAnsi="Times New Roman" w:cs="Times New Roman"/>
              <w:sz w:val="32"/>
              <w:szCs w:val="32"/>
            </w:rPr>
          </w:pPr>
        </w:p>
        <w:p w14:paraId="1452472B">
          <w:pPr>
            <w:spacing w:line="360" w:lineRule="auto"/>
            <w:jc w:val="center"/>
            <w:rPr>
              <w:rFonts w:hint="default" w:ascii="Times New Roman" w:hAnsi="Times New Roman" w:cs="Times New Roman"/>
              <w:sz w:val="32"/>
              <w:szCs w:val="32"/>
            </w:rPr>
          </w:pPr>
        </w:p>
        <w:p w14:paraId="122FC3E3">
          <w:pPr>
            <w:spacing w:line="360" w:lineRule="auto"/>
            <w:jc w:val="center"/>
            <w:rPr>
              <w:rFonts w:hint="default" w:ascii="Times New Roman" w:hAnsi="Times New Roman" w:cs="Times New Roman"/>
              <w:sz w:val="32"/>
              <w:szCs w:val="32"/>
            </w:rPr>
          </w:pPr>
        </w:p>
        <w:p w14:paraId="17AEF787">
          <w:pPr>
            <w:spacing w:line="360" w:lineRule="auto"/>
            <w:jc w:val="center"/>
            <w:rPr>
              <w:rFonts w:hint="default" w:ascii="Times New Roman" w:hAnsi="Times New Roman" w:cs="Times New Roman"/>
              <w:sz w:val="32"/>
              <w:szCs w:val="32"/>
            </w:rPr>
          </w:pPr>
        </w:p>
        <w:p w14:paraId="2D2814C8">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目  录</w:t>
          </w:r>
        </w:p>
        <w:p w14:paraId="06A2C193" w14:textId="66FA5D78" w:rsidR="0005742B" w:rsidRDefault="004E4FAE">
          <w:pPr>
            <w:pStyle w:val="14"/>
            <w:rPr>
              <w:rFonts w:hint="eastAsia"/>
              <w:b w:val="0"/>
              <w:noProof/>
              <w:sz w:val="22"/>
              <w:szCs w:val="24"/>
              <w14:ligatures w14:val="standardContextual"/>
            </w:rPr>
          </w:pPr>
          <w:r>
            <w:rPr>
              <w:rFonts w:ascii="Times New Roman" w:eastAsia="华文楷体" w:hAnsi="Times New Roman" w:cs="Times New Roman"/>
              <w:b w:val="0"/>
              <w:bCs/>
              <w:lang w:val="zh-CN"/>
            </w:rPr>
            <w:fldChar w:fldCharType="begin"/>
          </w:r>
          <w:r>
            <w:rPr>
              <w:rFonts w:ascii="Times New Roman" w:eastAsia="华文楷体" w:hAnsi="Times New Roman" w:cs="Times New Roman"/>
              <w:b w:val="0"/>
              <w:bCs/>
              <w:lang w:val="zh-CN"/>
            </w:rPr>
            <w:instrText xml:space="preserve"> TOC \o "1-3" \h \z \u </w:instrText>
          </w:r>
          <w:r>
            <w:rPr>
              <w:rFonts w:ascii="Times New Roman" w:eastAsia="华文楷体" w:hAnsi="Times New Roman" w:cs="Times New Roman"/>
              <w:b w:val="0"/>
              <w:bCs/>
              <w:lang w:val="zh-CN"/>
            </w:rPr>
            <w:fldChar w:fldCharType="separate"/>
          </w:r>
          <w:hyperlink w:anchor="_Toc242962099" w:history="1">
            <w:r w:rsidR="0005742B" w:rsidRPr="00567CCE">
              <w:rPr>
                <w:rStyle w:val="23"/>
                <w:rFonts w:ascii="Times New Roman" w:hAnsi="Times New Roman" w:cs="Times New Roman"/>
                <w:noProof/>
              </w:rPr>
              <w:t>第一章</w:t>
            </w:r>
            <w:r w:rsidR="0005742B">
              <w:rPr>
                <w:rFonts w:hint="eastAsia"/>
                <w:b w:val="0"/>
                <w:noProof/>
                <w:sz w:val="22"/>
                <w:szCs w:val="24"/>
                <w14:ligatures w14:val="standardContextual"/>
              </w:rPr>
              <w:tab/>
            </w:r>
            <w:r w:rsidR="0005742B" w:rsidRPr="00567CCE">
              <w:rPr>
                <w:rStyle w:val="23"/>
                <w:rFonts w:ascii="Times New Roman" w:hAnsi="Times New Roman" w:cs="Times New Roman"/>
                <w:noProof/>
              </w:rPr>
              <w:t>需求分析</w:t>
            </w:r>
            <w:r w:rsidR="0005742B">
              <w:rPr>
                <w:rFonts w:hint="eastAsia"/>
                <w:noProof/>
                <w:webHidden/>
              </w:rPr>
              <w:tab/>
            </w:r>
            <w:r w:rsidR="0005742B">
              <w:rPr>
                <w:rFonts w:hint="eastAsia"/>
                <w:noProof/>
                <w:webHidden/>
              </w:rPr>
              <w:fldChar w:fldCharType="begin"/>
            </w:r>
            <w:r w:rsidR="0005742B">
              <w:rPr>
                <w:rFonts w:hint="eastAsia"/>
                <w:noProof/>
                <w:webHidden/>
              </w:rPr>
              <w:instrText xml:space="preserve"> </w:instrText>
            </w:r>
            <w:r w:rsidR="0005742B">
              <w:rPr>
                <w:noProof/>
                <w:webHidden/>
              </w:rPr>
              <w:instrText>PAGEREF _Toc242962099 \h</w:instrText>
            </w:r>
            <w:r w:rsidR="0005742B">
              <w:rPr>
                <w:rFonts w:hint="eastAsia"/>
                <w:noProof/>
                <w:webHidden/>
              </w:rPr>
              <w:instrText xml:space="preserve"> </w:instrText>
            </w:r>
            <w:r w:rsidR="0005742B">
              <w:rPr>
                <w:rFonts w:hint="eastAsia"/>
                <w:noProof/>
                <w:webHidden/>
              </w:rPr>
            </w:r>
            <w:r w:rsidR="0005742B">
              <w:rPr>
                <w:rFonts w:hint="eastAsia"/>
                <w:noProof/>
                <w:webHidden/>
              </w:rPr>
              <w:fldChar w:fldCharType="separate"/>
            </w:r>
            <w:r w:rsidR="0005742B">
              <w:rPr>
                <w:rFonts w:hint="eastAsia"/>
                <w:noProof/>
                <w:webHidden/>
              </w:rPr>
              <w:t>4</w:t>
            </w:r>
            <w:r w:rsidR="0005742B">
              <w:rPr>
                <w:rFonts w:hint="eastAsia"/>
                <w:noProof/>
                <w:webHidden/>
              </w:rPr>
              <w:fldChar w:fldCharType="end"/>
            </w:r>
          </w:hyperlink>
        </w:p>
        <w:p w14:paraId="2CE8C692" w14:textId="2049F60C" w:rsidR="0005742B" w:rsidRDefault="0005742B">
          <w:pPr>
            <w:pStyle w:val="15"/>
            <w:tabs>
              <w:tab w:val="right" w:leader="dot" w:pos="8302"/>
            </w:tabs>
            <w:rPr>
              <w:rFonts w:hint="eastAsia"/>
              <w:noProof/>
              <w:sz w:val="22"/>
              <w:szCs w:val="24"/>
              <w14:ligatures w14:val="standardContextual"/>
            </w:rPr>
          </w:pPr>
          <w:hyperlink w:anchor="_Toc242962100" w:history="1">
            <w:r w:rsidRPr="00567CCE">
              <w:rPr>
                <w:rStyle w:val="2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16A248" w14:textId="15B32424" w:rsidR="0005742B" w:rsidRDefault="0005742B">
          <w:pPr>
            <w:pStyle w:val="15"/>
            <w:tabs>
              <w:tab w:val="right" w:leader="dot" w:pos="8302"/>
            </w:tabs>
            <w:rPr>
              <w:rFonts w:hint="eastAsia"/>
              <w:noProof/>
              <w:sz w:val="22"/>
              <w:szCs w:val="24"/>
              <w14:ligatures w14:val="standardContextual"/>
            </w:rPr>
          </w:pPr>
          <w:hyperlink w:anchor="_Toc242962101" w:history="1">
            <w:r w:rsidRPr="00567CCE">
              <w:rPr>
                <w:rStyle w:val="23"/>
                <w:noProof/>
              </w:rPr>
              <w:t>1.2研究意义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45C9CCA" w14:textId="4826CDC2" w:rsidR="0005742B" w:rsidRDefault="0005742B">
          <w:pPr>
            <w:pStyle w:val="15"/>
            <w:tabs>
              <w:tab w:val="right" w:leader="dot" w:pos="8302"/>
            </w:tabs>
            <w:rPr>
              <w:rFonts w:hint="eastAsia"/>
              <w:noProof/>
              <w:sz w:val="22"/>
              <w:szCs w:val="24"/>
              <w14:ligatures w14:val="standardContextual"/>
            </w:rPr>
          </w:pPr>
          <w:hyperlink w:anchor="_Toc242962102" w:history="1">
            <w:r w:rsidRPr="00567CCE">
              <w:rPr>
                <w:rStyle w:val="23"/>
                <w:noProof/>
              </w:rPr>
              <w:t>1.3 学科需求与应用场景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F7DC4F" w14:textId="6FC73622" w:rsidR="0005742B" w:rsidRDefault="0005742B">
          <w:pPr>
            <w:pStyle w:val="15"/>
            <w:tabs>
              <w:tab w:val="right" w:leader="dot" w:pos="8302"/>
            </w:tabs>
            <w:rPr>
              <w:rFonts w:hint="eastAsia"/>
              <w:noProof/>
              <w:sz w:val="22"/>
              <w:szCs w:val="24"/>
              <w14:ligatures w14:val="standardContextual"/>
            </w:rPr>
          </w:pPr>
          <w:hyperlink w:anchor="_Toc242962103" w:history="1">
            <w:r w:rsidRPr="00567CCE">
              <w:rPr>
                <w:rStyle w:val="23"/>
                <w:noProof/>
              </w:rPr>
              <w:t>1.4 同类方案与项目目标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2CB7DF9" w14:textId="3C92A51D" w:rsidR="0005742B" w:rsidRDefault="0005742B">
          <w:pPr>
            <w:pStyle w:val="14"/>
            <w:rPr>
              <w:rFonts w:hint="eastAsia"/>
              <w:b w:val="0"/>
              <w:noProof/>
              <w:sz w:val="22"/>
              <w:szCs w:val="24"/>
              <w14:ligatures w14:val="standardContextual"/>
            </w:rPr>
          </w:pPr>
          <w:hyperlink w:anchor="_Toc242962104" w:history="1">
            <w:r w:rsidRPr="00567CCE">
              <w:rPr>
                <w:rStyle w:val="23"/>
                <w:rFonts w:ascii="Times New Roman" w:hAnsi="Times New Roman" w:cs="Times New Roman"/>
                <w:noProof/>
              </w:rPr>
              <w:t>第二章</w:t>
            </w:r>
            <w:r>
              <w:rPr>
                <w:rFonts w:hint="eastAsia"/>
                <w:b w:val="0"/>
                <w:noProof/>
                <w:sz w:val="22"/>
                <w:szCs w:val="24"/>
                <w14:ligatures w14:val="standardContextual"/>
              </w:rPr>
              <w:tab/>
            </w:r>
            <w:r w:rsidRPr="00567CCE">
              <w:rPr>
                <w:rStyle w:val="23"/>
                <w:rFonts w:ascii="Times New Roman" w:hAnsi="Times New Roman" w:cs="Times New Roman"/>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3AC6092" w14:textId="6CDD3E7C" w:rsidR="0005742B" w:rsidRDefault="0005742B">
          <w:pPr>
            <w:pStyle w:val="15"/>
            <w:tabs>
              <w:tab w:val="right" w:leader="dot" w:pos="8302"/>
            </w:tabs>
            <w:rPr>
              <w:rFonts w:hint="eastAsia"/>
              <w:noProof/>
              <w:sz w:val="22"/>
              <w:szCs w:val="24"/>
              <w14:ligatures w14:val="standardContextual"/>
            </w:rPr>
          </w:pPr>
          <w:hyperlink w:anchor="_Toc242962105" w:history="1">
            <w:r w:rsidRPr="00567CCE">
              <w:rPr>
                <w:rStyle w:val="23"/>
                <w:noProof/>
              </w:rPr>
              <w:t>2.1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70193D7" w14:textId="3335911B" w:rsidR="0005742B" w:rsidRDefault="0005742B">
          <w:pPr>
            <w:pStyle w:val="10"/>
            <w:tabs>
              <w:tab w:val="right" w:leader="dot" w:pos="8302"/>
            </w:tabs>
            <w:rPr>
              <w:rFonts w:hint="eastAsia"/>
              <w:noProof/>
              <w:sz w:val="22"/>
              <w:szCs w:val="24"/>
              <w14:ligatures w14:val="standardContextual"/>
            </w:rPr>
          </w:pPr>
          <w:hyperlink w:anchor="_Toc242962106" w:history="1">
            <w:r w:rsidRPr="00567CCE">
              <w:rPr>
                <w:rStyle w:val="23"/>
                <w:noProof/>
              </w:rPr>
              <w:t>2.1.1总体架构与数据流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2915E92" w14:textId="60D04E15" w:rsidR="0005742B" w:rsidRDefault="0005742B">
          <w:pPr>
            <w:pStyle w:val="10"/>
            <w:tabs>
              <w:tab w:val="right" w:leader="dot" w:pos="8302"/>
            </w:tabs>
            <w:rPr>
              <w:rFonts w:hint="eastAsia"/>
              <w:noProof/>
              <w:sz w:val="22"/>
              <w:szCs w:val="24"/>
              <w14:ligatures w14:val="standardContextual"/>
            </w:rPr>
          </w:pPr>
          <w:hyperlink w:anchor="_Toc242962107" w:history="1">
            <w:r w:rsidRPr="00567CCE">
              <w:rPr>
                <w:rStyle w:val="23"/>
                <w:noProof/>
              </w:rPr>
              <w:t>2.1.2 财务计算与 AI 教练架构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DE5DB1D" w14:textId="4F13EC74" w:rsidR="0005742B" w:rsidRDefault="0005742B">
          <w:pPr>
            <w:pStyle w:val="10"/>
            <w:tabs>
              <w:tab w:val="right" w:leader="dot" w:pos="8302"/>
            </w:tabs>
            <w:rPr>
              <w:rFonts w:hint="eastAsia"/>
              <w:noProof/>
              <w:sz w:val="22"/>
              <w:szCs w:val="24"/>
              <w14:ligatures w14:val="standardContextual"/>
            </w:rPr>
          </w:pPr>
          <w:hyperlink w:anchor="_Toc242962108" w:history="1">
            <w:r w:rsidRPr="00567CCE">
              <w:rPr>
                <w:rStyle w:val="23"/>
                <w:noProof/>
              </w:rPr>
              <w:t>2.1.3 基于 HSTU 的个性化推荐架构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613935E" w14:textId="549909C8" w:rsidR="0005742B" w:rsidRDefault="0005742B">
          <w:pPr>
            <w:pStyle w:val="15"/>
            <w:tabs>
              <w:tab w:val="right" w:leader="dot" w:pos="8302"/>
            </w:tabs>
            <w:rPr>
              <w:rFonts w:hint="eastAsia"/>
              <w:noProof/>
              <w:sz w:val="22"/>
              <w:szCs w:val="24"/>
              <w14:ligatures w14:val="standardContextual"/>
            </w:rPr>
          </w:pPr>
          <w:hyperlink w:anchor="_Toc242962109" w:history="1">
            <w:r w:rsidRPr="00567CCE">
              <w:rPr>
                <w:rStyle w:val="23"/>
                <w:noProof/>
              </w:rPr>
              <w:t>2.2 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80960F3" w14:textId="75A6DDC9" w:rsidR="0005742B" w:rsidRDefault="0005742B">
          <w:pPr>
            <w:pStyle w:val="10"/>
            <w:tabs>
              <w:tab w:val="right" w:leader="dot" w:pos="8302"/>
            </w:tabs>
            <w:rPr>
              <w:rFonts w:hint="eastAsia"/>
              <w:noProof/>
              <w:sz w:val="22"/>
              <w:szCs w:val="24"/>
              <w14:ligatures w14:val="standardContextual"/>
            </w:rPr>
          </w:pPr>
          <w:hyperlink w:anchor="_Toc242962110" w:history="1">
            <w:r w:rsidRPr="00567CCE">
              <w:rPr>
                <w:rStyle w:val="23"/>
                <w:noProof/>
              </w:rPr>
              <w:t>2.2.1 财务管理与决策辅助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AD94862" w14:textId="53C2AD3F" w:rsidR="0005742B" w:rsidRDefault="0005742B">
          <w:pPr>
            <w:pStyle w:val="10"/>
            <w:tabs>
              <w:tab w:val="right" w:leader="dot" w:pos="8302"/>
            </w:tabs>
            <w:rPr>
              <w:rFonts w:hint="eastAsia"/>
              <w:noProof/>
              <w:sz w:val="22"/>
              <w:szCs w:val="24"/>
              <w14:ligatures w14:val="standardContextual"/>
            </w:rPr>
          </w:pPr>
          <w:hyperlink w:anchor="_Toc242962111" w:history="1">
            <w:r w:rsidRPr="00567CCE">
              <w:rPr>
                <w:rStyle w:val="23"/>
                <w:noProof/>
              </w:rPr>
              <w:t>2.2.2 金融素养学习与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CBAA60E" w14:textId="548AE8D1" w:rsidR="0005742B" w:rsidRDefault="0005742B">
          <w:pPr>
            <w:pStyle w:val="10"/>
            <w:tabs>
              <w:tab w:val="right" w:leader="dot" w:pos="8302"/>
            </w:tabs>
            <w:rPr>
              <w:rFonts w:hint="eastAsia"/>
              <w:noProof/>
              <w:sz w:val="22"/>
              <w:szCs w:val="24"/>
              <w14:ligatures w14:val="standardContextual"/>
            </w:rPr>
          </w:pPr>
          <w:hyperlink w:anchor="_Toc242962112" w:history="1">
            <w:r w:rsidRPr="00567CCE">
              <w:rPr>
                <w:rStyle w:val="23"/>
                <w:noProof/>
              </w:rPr>
              <w:t>2.2.3 每日播客个性化推荐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F812161" w14:textId="0E493F61" w:rsidR="0005742B" w:rsidRDefault="0005742B">
          <w:pPr>
            <w:pStyle w:val="14"/>
            <w:rPr>
              <w:rFonts w:hint="eastAsia"/>
              <w:b w:val="0"/>
              <w:noProof/>
              <w:sz w:val="22"/>
              <w:szCs w:val="24"/>
              <w14:ligatures w14:val="standardContextual"/>
            </w:rPr>
          </w:pPr>
          <w:hyperlink w:anchor="_Toc242962113" w:history="1">
            <w:r w:rsidRPr="00567CCE">
              <w:rPr>
                <w:rStyle w:val="23"/>
                <w:rFonts w:ascii="Times New Roman" w:hAnsi="Times New Roman" w:cs="Times New Roman"/>
                <w:noProof/>
              </w:rPr>
              <w:t>第三章</w:t>
            </w:r>
            <w:r>
              <w:rPr>
                <w:rFonts w:hint="eastAsia"/>
                <w:b w:val="0"/>
                <w:noProof/>
                <w:sz w:val="22"/>
                <w:szCs w:val="24"/>
                <w14:ligatures w14:val="standardContextual"/>
              </w:rPr>
              <w:tab/>
            </w:r>
            <w:r w:rsidRPr="00567CCE">
              <w:rPr>
                <w:rStyle w:val="23"/>
                <w:rFonts w:ascii="Times New Roman" w:hAnsi="Times New Roman" w:cs="Times New Roman"/>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7EA6C37" w14:textId="4C3C72AB" w:rsidR="0005742B" w:rsidRDefault="0005742B">
          <w:pPr>
            <w:pStyle w:val="15"/>
            <w:tabs>
              <w:tab w:val="right" w:leader="dot" w:pos="8302"/>
            </w:tabs>
            <w:rPr>
              <w:rFonts w:hint="eastAsia"/>
              <w:noProof/>
              <w:sz w:val="22"/>
              <w:szCs w:val="24"/>
              <w14:ligatures w14:val="standardContextual"/>
            </w:rPr>
          </w:pPr>
          <w:hyperlink w:anchor="_Toc242962114" w:history="1">
            <w:r w:rsidRPr="00567CCE">
              <w:rPr>
                <w:rStyle w:val="23"/>
                <w:noProof/>
              </w:rPr>
              <w:t>3.1 财务管理与决策辅助模块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7465BFC" w14:textId="3781E8E3" w:rsidR="0005742B" w:rsidRDefault="0005742B">
          <w:pPr>
            <w:pStyle w:val="10"/>
            <w:tabs>
              <w:tab w:val="right" w:leader="dot" w:pos="8302"/>
            </w:tabs>
            <w:rPr>
              <w:rFonts w:hint="eastAsia"/>
              <w:noProof/>
              <w:sz w:val="22"/>
              <w:szCs w:val="24"/>
              <w14:ligatures w14:val="standardContextual"/>
            </w:rPr>
          </w:pPr>
          <w:hyperlink w:anchor="_Toc242962115" w:history="1">
            <w:r w:rsidRPr="00567CCE">
              <w:rPr>
                <w:rStyle w:val="23"/>
                <w:noProof/>
              </w:rPr>
              <w:t>3.1.1 收支记录与账单管理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143C2DD" w14:textId="019FFAF3" w:rsidR="0005742B" w:rsidRDefault="0005742B">
          <w:pPr>
            <w:pStyle w:val="10"/>
            <w:tabs>
              <w:tab w:val="right" w:leader="dot" w:pos="8302"/>
            </w:tabs>
            <w:rPr>
              <w:rFonts w:hint="eastAsia"/>
              <w:noProof/>
              <w:sz w:val="22"/>
              <w:szCs w:val="24"/>
              <w14:ligatures w14:val="standardContextual"/>
            </w:rPr>
          </w:pPr>
          <w:hyperlink w:anchor="_Toc242962116" w:history="1">
            <w:r w:rsidRPr="00567CCE">
              <w:rPr>
                <w:rStyle w:val="23"/>
                <w:noProof/>
              </w:rPr>
              <w:t>3.1.2 储蓄目标与消费复盘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F977CD6" w14:textId="2C7CE7CF" w:rsidR="0005742B" w:rsidRDefault="0005742B">
          <w:pPr>
            <w:pStyle w:val="10"/>
            <w:tabs>
              <w:tab w:val="right" w:leader="dot" w:pos="8302"/>
            </w:tabs>
            <w:rPr>
              <w:rFonts w:hint="eastAsia"/>
              <w:noProof/>
              <w:sz w:val="22"/>
              <w:szCs w:val="24"/>
              <w14:ligatures w14:val="standardContextual"/>
            </w:rPr>
          </w:pPr>
          <w:hyperlink w:anchor="_Toc242962117" w:history="1">
            <w:r w:rsidRPr="00567CCE">
              <w:rPr>
                <w:rStyle w:val="23"/>
                <w:noProof/>
              </w:rPr>
              <w:t>3.1.3 确定性计算与技术指标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19D14CD" w14:textId="77509A5C" w:rsidR="0005742B" w:rsidRDefault="0005742B">
          <w:pPr>
            <w:pStyle w:val="15"/>
            <w:tabs>
              <w:tab w:val="right" w:leader="dot" w:pos="8302"/>
            </w:tabs>
            <w:rPr>
              <w:rFonts w:hint="eastAsia"/>
              <w:noProof/>
              <w:sz w:val="22"/>
              <w:szCs w:val="24"/>
              <w14:ligatures w14:val="standardContextual"/>
            </w:rPr>
          </w:pPr>
          <w:hyperlink w:anchor="_Toc242962118" w:history="1">
            <w:r w:rsidRPr="00567CCE">
              <w:rPr>
                <w:rStyle w:val="23"/>
                <w:noProof/>
              </w:rPr>
              <w:t>3.2 金融素养学习与 AI 教练模块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233EE5E" w14:textId="006960A4" w:rsidR="0005742B" w:rsidRDefault="0005742B">
          <w:pPr>
            <w:pStyle w:val="10"/>
            <w:tabs>
              <w:tab w:val="right" w:leader="dot" w:pos="8302"/>
            </w:tabs>
            <w:rPr>
              <w:rFonts w:hint="eastAsia"/>
              <w:noProof/>
              <w:sz w:val="22"/>
              <w:szCs w:val="24"/>
              <w14:ligatures w14:val="standardContextual"/>
            </w:rPr>
          </w:pPr>
          <w:hyperlink w:anchor="_Toc242962119" w:history="1">
            <w:r w:rsidRPr="00567CCE">
              <w:rPr>
                <w:rStyle w:val="23"/>
                <w:noProof/>
              </w:rPr>
              <w:t>3.2.1 主题学习与情境练习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D4C4338" w14:textId="3C16D469" w:rsidR="0005742B" w:rsidRDefault="0005742B">
          <w:pPr>
            <w:pStyle w:val="10"/>
            <w:tabs>
              <w:tab w:val="right" w:leader="dot" w:pos="8302"/>
            </w:tabs>
            <w:rPr>
              <w:rFonts w:hint="eastAsia"/>
              <w:noProof/>
              <w:sz w:val="22"/>
              <w:szCs w:val="24"/>
              <w14:ligatures w14:val="standardContextual"/>
            </w:rPr>
          </w:pPr>
          <w:hyperlink w:anchor="_Toc242962120" w:history="1">
            <w:r w:rsidRPr="00567CCE">
              <w:rPr>
                <w:rStyle w:val="23"/>
                <w:noProof/>
              </w:rPr>
              <w:t>3.2.2 AI 教练与回答可靠性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1BBA897" w14:textId="661D95FC" w:rsidR="0005742B" w:rsidRDefault="0005742B">
          <w:pPr>
            <w:pStyle w:val="15"/>
            <w:tabs>
              <w:tab w:val="right" w:leader="dot" w:pos="8302"/>
            </w:tabs>
            <w:rPr>
              <w:rFonts w:hint="eastAsia"/>
              <w:noProof/>
              <w:sz w:val="22"/>
              <w:szCs w:val="24"/>
              <w14:ligatures w14:val="standardContextual"/>
            </w:rPr>
          </w:pPr>
          <w:hyperlink w:anchor="_Toc242962121" w:history="1">
            <w:r w:rsidRPr="00567CCE">
              <w:rPr>
                <w:rStyle w:val="23"/>
                <w:noProof/>
              </w:rPr>
              <w:t>3.3 每日播客个性化推荐模块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73F7C67" w14:textId="336B9B12" w:rsidR="0005742B" w:rsidRDefault="0005742B">
          <w:pPr>
            <w:pStyle w:val="10"/>
            <w:tabs>
              <w:tab w:val="right" w:leader="dot" w:pos="8302"/>
            </w:tabs>
            <w:rPr>
              <w:rFonts w:hint="eastAsia"/>
              <w:noProof/>
              <w:sz w:val="22"/>
              <w:szCs w:val="24"/>
              <w14:ligatures w14:val="standardContextual"/>
            </w:rPr>
          </w:pPr>
          <w:hyperlink w:anchor="_Toc242962122" w:history="1">
            <w:r w:rsidRPr="00567CCE">
              <w:rPr>
                <w:rStyle w:val="23"/>
                <w:noProof/>
              </w:rPr>
              <w:t>3.3.1 每日推荐与用户反馈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9944334" w14:textId="3460CAD1" w:rsidR="0005742B" w:rsidRDefault="0005742B">
          <w:pPr>
            <w:pStyle w:val="10"/>
            <w:tabs>
              <w:tab w:val="right" w:leader="dot" w:pos="8302"/>
            </w:tabs>
            <w:rPr>
              <w:rFonts w:hint="eastAsia"/>
              <w:noProof/>
              <w:sz w:val="22"/>
              <w:szCs w:val="24"/>
              <w14:ligatures w14:val="standardContextual"/>
            </w:rPr>
          </w:pPr>
          <w:hyperlink w:anchor="_Toc242962123" w:history="1">
            <w:r w:rsidRPr="00567CCE">
              <w:rPr>
                <w:rStyle w:val="23"/>
                <w:noProof/>
              </w:rPr>
              <w:t>3.3.2 HSTU 序列建模与效果评价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7E2D5D0" w14:textId="523A1B13" w:rsidR="0005742B" w:rsidRDefault="0005742B">
          <w:pPr>
            <w:pStyle w:val="15"/>
            <w:tabs>
              <w:tab w:val="right" w:leader="dot" w:pos="8302"/>
            </w:tabs>
            <w:rPr>
              <w:rFonts w:hint="eastAsia"/>
              <w:noProof/>
              <w:sz w:val="22"/>
              <w:szCs w:val="24"/>
              <w14:ligatures w14:val="standardContextual"/>
            </w:rPr>
          </w:pPr>
          <w:hyperlink w:anchor="_Toc242962124" w:history="1">
            <w:r w:rsidRPr="00567CCE">
              <w:rPr>
                <w:rStyle w:val="23"/>
                <w:noProof/>
              </w:rPr>
              <w:t>3.4 账户资料与后台支撑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431880C" w14:textId="606C83D8" w:rsidR="0005742B" w:rsidRDefault="0005742B">
          <w:pPr>
            <w:pStyle w:val="10"/>
            <w:tabs>
              <w:tab w:val="right" w:leader="dot" w:pos="8302"/>
            </w:tabs>
            <w:rPr>
              <w:rFonts w:hint="eastAsia"/>
              <w:noProof/>
              <w:sz w:val="22"/>
              <w:szCs w:val="24"/>
              <w14:ligatures w14:val="standardContextual"/>
            </w:rPr>
          </w:pPr>
          <w:hyperlink w:anchor="_Toc242962125" w:history="1">
            <w:r w:rsidRPr="00567CCE">
              <w:rPr>
                <w:rStyle w:val="23"/>
                <w:noProof/>
              </w:rPr>
              <w:t>3.4.1 注册登录与个人资料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B3CF505" w14:textId="43DECBE9" w:rsidR="0005742B" w:rsidRDefault="0005742B">
          <w:pPr>
            <w:pStyle w:val="10"/>
            <w:tabs>
              <w:tab w:val="right" w:leader="dot" w:pos="8302"/>
            </w:tabs>
            <w:rPr>
              <w:rFonts w:hint="eastAsia"/>
              <w:noProof/>
              <w:sz w:val="22"/>
              <w:szCs w:val="24"/>
              <w14:ligatures w14:val="standardContextual"/>
            </w:rPr>
          </w:pPr>
          <w:hyperlink w:anchor="_Toc242962126" w:history="1">
            <w:r w:rsidRPr="00567CCE">
              <w:rPr>
                <w:rStyle w:val="23"/>
                <w:noProof/>
              </w:rPr>
              <w:t>3.4.2 运营与后台管理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C90B7A6" w14:textId="4ADCFA8F" w:rsidR="0005742B" w:rsidRDefault="0005742B">
          <w:pPr>
            <w:pStyle w:val="15"/>
            <w:tabs>
              <w:tab w:val="right" w:leader="dot" w:pos="8302"/>
            </w:tabs>
            <w:rPr>
              <w:rFonts w:hint="eastAsia"/>
              <w:noProof/>
              <w:sz w:val="22"/>
              <w:szCs w:val="24"/>
              <w14:ligatures w14:val="standardContextual"/>
            </w:rPr>
          </w:pPr>
          <w:hyperlink w:anchor="_Toc242962127" w:history="1">
            <w:r w:rsidRPr="00567CCE">
              <w:rPr>
                <w:rStyle w:val="23"/>
                <w:noProof/>
              </w:rPr>
              <w:t>3.5 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6E25ECF" w14:textId="7EE7CFCD" w:rsidR="0005742B" w:rsidRDefault="0005742B">
          <w:pPr>
            <w:pStyle w:val="10"/>
            <w:tabs>
              <w:tab w:val="right" w:leader="dot" w:pos="8302"/>
            </w:tabs>
            <w:rPr>
              <w:rFonts w:hint="eastAsia"/>
              <w:noProof/>
              <w:sz w:val="22"/>
              <w:szCs w:val="24"/>
              <w14:ligatures w14:val="standardContextual"/>
            </w:rPr>
          </w:pPr>
          <w:hyperlink w:anchor="_Toc242962128" w:history="1">
            <w:r w:rsidRPr="00567CCE">
              <w:rPr>
                <w:rStyle w:val="23"/>
                <w:noProof/>
              </w:rPr>
              <w:t>3.5.1 行为经济学理论的可计算转化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55BD649" w14:textId="30C576AB" w:rsidR="0005742B" w:rsidRDefault="0005742B">
          <w:pPr>
            <w:pStyle w:val="10"/>
            <w:tabs>
              <w:tab w:val="right" w:leader="dot" w:pos="8302"/>
            </w:tabs>
            <w:rPr>
              <w:rFonts w:hint="eastAsia"/>
              <w:noProof/>
              <w:sz w:val="22"/>
              <w:szCs w:val="24"/>
              <w14:ligatures w14:val="standardContextual"/>
            </w:rPr>
          </w:pPr>
          <w:hyperlink w:anchor="_Toc242962129" w:history="1">
            <w:r w:rsidRPr="00567CCE">
              <w:rPr>
                <w:rStyle w:val="23"/>
                <w:noProof/>
              </w:rPr>
              <w:t>3.5.2 金融知识与财务工具协同的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F387302" w14:textId="473B98BA" w:rsidR="0005742B" w:rsidRDefault="0005742B">
          <w:pPr>
            <w:pStyle w:val="10"/>
            <w:tabs>
              <w:tab w:val="right" w:leader="dot" w:pos="8302"/>
            </w:tabs>
            <w:rPr>
              <w:rFonts w:hint="eastAsia"/>
              <w:noProof/>
              <w:sz w:val="22"/>
              <w:szCs w:val="24"/>
              <w14:ligatures w14:val="standardContextual"/>
            </w:rPr>
          </w:pPr>
          <w:hyperlink w:anchor="_Toc242962130" w:history="1">
            <w:r w:rsidRPr="00567CCE">
              <w:rPr>
                <w:rStyle w:val="23"/>
                <w:noProof/>
              </w:rPr>
              <w:t>3.5.3 融合财务情境与学习需求的个性化推荐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3A0C7F3" w14:textId="580A0A34" w:rsidR="0005742B" w:rsidRDefault="0005742B">
          <w:pPr>
            <w:pStyle w:val="14"/>
            <w:rPr>
              <w:rFonts w:hint="eastAsia"/>
              <w:b w:val="0"/>
              <w:noProof/>
              <w:sz w:val="22"/>
              <w:szCs w:val="24"/>
              <w14:ligatures w14:val="standardContextual"/>
            </w:rPr>
          </w:pPr>
          <w:hyperlink w:anchor="_Toc242962131" w:history="1">
            <w:r w:rsidRPr="00567CCE">
              <w:rPr>
                <w:rStyle w:val="23"/>
                <w:noProof/>
              </w:rPr>
              <w:t>第四章</w:t>
            </w:r>
            <w:r>
              <w:rPr>
                <w:rFonts w:hint="eastAsia"/>
                <w:b w:val="0"/>
                <w:noProof/>
                <w:sz w:val="22"/>
                <w:szCs w:val="24"/>
                <w14:ligatures w14:val="standardContextual"/>
              </w:rPr>
              <w:tab/>
            </w:r>
            <w:r w:rsidRPr="00567CCE">
              <w:rPr>
                <w:rStyle w:val="23"/>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A23A645" w14:textId="05B3B287" w:rsidR="0005742B" w:rsidRDefault="0005742B">
          <w:pPr>
            <w:pStyle w:val="15"/>
            <w:tabs>
              <w:tab w:val="right" w:leader="dot" w:pos="8302"/>
            </w:tabs>
            <w:rPr>
              <w:rFonts w:hint="eastAsia"/>
              <w:noProof/>
              <w:sz w:val="22"/>
              <w:szCs w:val="24"/>
              <w14:ligatures w14:val="standardContextual"/>
            </w:rPr>
          </w:pPr>
          <w:hyperlink w:anchor="_Toc242962132" w:history="1">
            <w:r w:rsidRPr="00567CCE">
              <w:rPr>
                <w:rStyle w:val="23"/>
                <w:noProof/>
              </w:rPr>
              <w:t>4.1 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4AE7B9C" w14:textId="495F7558" w:rsidR="0005742B" w:rsidRDefault="0005742B">
          <w:pPr>
            <w:pStyle w:val="15"/>
            <w:tabs>
              <w:tab w:val="right" w:leader="dot" w:pos="8302"/>
            </w:tabs>
            <w:rPr>
              <w:rFonts w:hint="eastAsia"/>
              <w:noProof/>
              <w:sz w:val="22"/>
              <w:szCs w:val="24"/>
              <w14:ligatures w14:val="standardContextual"/>
            </w:rPr>
          </w:pPr>
          <w:hyperlink w:anchor="_Toc242962133" w:history="1">
            <w:r w:rsidRPr="00567CCE">
              <w:rPr>
                <w:rStyle w:val="23"/>
                <w:noProof/>
              </w:rPr>
              <w:t>4.2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4C8E1A4" w14:textId="3370002C" w:rsidR="0005742B" w:rsidRDefault="0005742B">
          <w:pPr>
            <w:pStyle w:val="15"/>
            <w:tabs>
              <w:tab w:val="right" w:leader="dot" w:pos="8302"/>
            </w:tabs>
            <w:rPr>
              <w:rFonts w:hint="eastAsia"/>
              <w:noProof/>
              <w:sz w:val="22"/>
              <w:szCs w:val="24"/>
              <w14:ligatures w14:val="standardContextual"/>
            </w:rPr>
          </w:pPr>
          <w:hyperlink w:anchor="_Toc242962134" w:history="1">
            <w:r w:rsidRPr="00567CCE">
              <w:rPr>
                <w:rStyle w:val="23"/>
                <w:noProof/>
              </w:rPr>
              <w:t>4.3 测试用例与过程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98545D7" w14:textId="63EA603E" w:rsidR="0005742B" w:rsidRDefault="0005742B">
          <w:pPr>
            <w:pStyle w:val="10"/>
            <w:tabs>
              <w:tab w:val="right" w:leader="dot" w:pos="8302"/>
            </w:tabs>
            <w:rPr>
              <w:rFonts w:hint="eastAsia"/>
              <w:noProof/>
              <w:sz w:val="22"/>
              <w:szCs w:val="24"/>
              <w14:ligatures w14:val="standardContextual"/>
            </w:rPr>
          </w:pPr>
          <w:hyperlink w:anchor="_Toc242962135" w:history="1">
            <w:r w:rsidRPr="00567CCE">
              <w:rPr>
                <w:rStyle w:val="23"/>
                <w:noProof/>
              </w:rPr>
              <w:t>4.3.1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8D52D36" w14:textId="5757B5F9" w:rsidR="0005742B" w:rsidRDefault="0005742B">
          <w:pPr>
            <w:pStyle w:val="10"/>
            <w:tabs>
              <w:tab w:val="right" w:leader="dot" w:pos="8302"/>
            </w:tabs>
            <w:rPr>
              <w:rFonts w:hint="eastAsia"/>
              <w:noProof/>
              <w:sz w:val="22"/>
              <w:szCs w:val="24"/>
              <w14:ligatures w14:val="standardContextual"/>
            </w:rPr>
          </w:pPr>
          <w:hyperlink w:anchor="_Toc242962136" w:history="1">
            <w:r w:rsidRPr="00567CCE">
              <w:rPr>
                <w:rStyle w:val="23"/>
                <w:noProof/>
              </w:rPr>
              <w:t>4.3.2 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5343DDF" w14:textId="5072B89B" w:rsidR="0005742B" w:rsidRDefault="0005742B">
          <w:pPr>
            <w:pStyle w:val="15"/>
            <w:tabs>
              <w:tab w:val="right" w:leader="dot" w:pos="8302"/>
            </w:tabs>
            <w:rPr>
              <w:rFonts w:hint="eastAsia"/>
              <w:noProof/>
              <w:sz w:val="22"/>
              <w:szCs w:val="24"/>
              <w14:ligatures w14:val="standardContextual"/>
            </w:rPr>
          </w:pPr>
          <w:hyperlink w:anchor="_Toc242962137" w:history="1">
            <w:r w:rsidRPr="00567CCE">
              <w:rPr>
                <w:rStyle w:val="23"/>
                <w:noProof/>
              </w:rPr>
              <w:t>4.4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03651E7" w14:textId="76103F79" w:rsidR="0005742B" w:rsidRDefault="0005742B">
          <w:pPr>
            <w:pStyle w:val="10"/>
            <w:tabs>
              <w:tab w:val="right" w:leader="dot" w:pos="8302"/>
            </w:tabs>
            <w:rPr>
              <w:rFonts w:hint="eastAsia"/>
              <w:noProof/>
              <w:sz w:val="22"/>
              <w:szCs w:val="24"/>
              <w14:ligatures w14:val="standardContextual"/>
            </w:rPr>
          </w:pPr>
          <w:hyperlink w:anchor="_Toc242962138" w:history="1">
            <w:r w:rsidRPr="00567CCE">
              <w:rPr>
                <w:rStyle w:val="23"/>
                <w:noProof/>
              </w:rPr>
              <w:t>4.4.1 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EF0E61B" w14:textId="46A1886B" w:rsidR="0005742B" w:rsidRDefault="0005742B">
          <w:pPr>
            <w:pStyle w:val="10"/>
            <w:tabs>
              <w:tab w:val="right" w:leader="dot" w:pos="8302"/>
            </w:tabs>
            <w:rPr>
              <w:rFonts w:hint="eastAsia"/>
              <w:noProof/>
              <w:sz w:val="22"/>
              <w:szCs w:val="24"/>
              <w14:ligatures w14:val="standardContextual"/>
            </w:rPr>
          </w:pPr>
          <w:hyperlink w:anchor="_Toc242962139" w:history="1">
            <w:r w:rsidRPr="00567CCE">
              <w:rPr>
                <w:rStyle w:val="23"/>
                <w:noProof/>
              </w:rPr>
              <w:t>4.4.2 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AB875D1" w14:textId="6B5CE613" w:rsidR="0005742B" w:rsidRDefault="0005742B">
          <w:pPr>
            <w:pStyle w:val="15"/>
            <w:tabs>
              <w:tab w:val="right" w:leader="dot" w:pos="8302"/>
            </w:tabs>
            <w:rPr>
              <w:rFonts w:hint="eastAsia"/>
              <w:noProof/>
              <w:sz w:val="22"/>
              <w:szCs w:val="24"/>
              <w14:ligatures w14:val="standardContextual"/>
            </w:rPr>
          </w:pPr>
          <w:hyperlink w:anchor="_Toc242962140" w:history="1">
            <w:r w:rsidRPr="00567CCE">
              <w:rPr>
                <w:rStyle w:val="23"/>
                <w:noProof/>
              </w:rPr>
              <w:t>4.5 金融素养培养效果验证方案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18CD53A" w14:textId="41241E0B" w:rsidR="0005742B" w:rsidRDefault="0005742B">
          <w:pPr>
            <w:pStyle w:val="14"/>
            <w:rPr>
              <w:rFonts w:hint="eastAsia"/>
              <w:b w:val="0"/>
              <w:noProof/>
              <w:sz w:val="22"/>
              <w:szCs w:val="24"/>
              <w14:ligatures w14:val="standardContextual"/>
            </w:rPr>
          </w:pPr>
          <w:hyperlink w:anchor="_Toc242962141" w:history="1">
            <w:r w:rsidRPr="00567CCE">
              <w:rPr>
                <w:rStyle w:val="23"/>
                <w:noProof/>
              </w:rPr>
              <w:t>第五章</w:t>
            </w:r>
            <w:r>
              <w:rPr>
                <w:rFonts w:hint="eastAsia"/>
                <w:b w:val="0"/>
                <w:noProof/>
                <w:sz w:val="22"/>
                <w:szCs w:val="24"/>
                <w14:ligatures w14:val="standardContextual"/>
              </w:rPr>
              <w:tab/>
            </w:r>
            <w:r w:rsidRPr="00567CCE">
              <w:rPr>
                <w:rStyle w:val="23"/>
                <w:noProof/>
              </w:rPr>
              <w:t>项目实施与推广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2DCE70A" w14:textId="462BC72B" w:rsidR="0005742B" w:rsidRDefault="0005742B">
          <w:pPr>
            <w:pStyle w:val="15"/>
            <w:tabs>
              <w:tab w:val="right" w:leader="dot" w:pos="8302"/>
            </w:tabs>
            <w:rPr>
              <w:rFonts w:hint="eastAsia"/>
              <w:noProof/>
              <w:sz w:val="22"/>
              <w:szCs w:val="24"/>
              <w14:ligatures w14:val="standardContextual"/>
            </w:rPr>
          </w:pPr>
          <w:hyperlink w:anchor="_Toc242962142" w:history="1">
            <w:r w:rsidRPr="00567CCE">
              <w:rPr>
                <w:rStyle w:val="23"/>
                <w:noProof/>
              </w:rPr>
              <w:t>5.1 部署条件与资源成本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F9843B8" w14:textId="2F0BFB61" w:rsidR="0005742B" w:rsidRDefault="0005742B">
          <w:pPr>
            <w:pStyle w:val="15"/>
            <w:tabs>
              <w:tab w:val="right" w:leader="dot" w:pos="8302"/>
            </w:tabs>
            <w:rPr>
              <w:rFonts w:hint="eastAsia"/>
              <w:noProof/>
              <w:sz w:val="22"/>
              <w:szCs w:val="24"/>
              <w14:ligatures w14:val="standardContextual"/>
            </w:rPr>
          </w:pPr>
          <w:hyperlink w:anchor="_Toc242962143" w:history="1">
            <w:r w:rsidRPr="00567CCE">
              <w:rPr>
                <w:rStyle w:val="23"/>
                <w:noProof/>
              </w:rPr>
              <w:t>5.2 实施计划与团队协作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F6AE8ED" w14:textId="12187EB1" w:rsidR="0005742B" w:rsidRDefault="0005742B">
          <w:pPr>
            <w:pStyle w:val="15"/>
            <w:tabs>
              <w:tab w:val="right" w:leader="dot" w:pos="8302"/>
            </w:tabs>
            <w:rPr>
              <w:rFonts w:hint="eastAsia"/>
              <w:noProof/>
              <w:sz w:val="22"/>
              <w:szCs w:val="24"/>
              <w14:ligatures w14:val="standardContextual"/>
            </w:rPr>
          </w:pPr>
          <w:hyperlink w:anchor="_Toc242962144" w:history="1">
            <w:r w:rsidRPr="00567CCE">
              <w:rPr>
                <w:rStyle w:val="23"/>
                <w:noProof/>
              </w:rPr>
              <w:t>5.3 校园复用与数据使用边界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37681F9" w14:textId="17BC7FFC" w:rsidR="0005742B" w:rsidRDefault="0005742B">
          <w:pPr>
            <w:pStyle w:val="14"/>
            <w:rPr>
              <w:rFonts w:hint="eastAsia"/>
              <w:b w:val="0"/>
              <w:noProof/>
              <w:sz w:val="22"/>
              <w:szCs w:val="24"/>
              <w14:ligatures w14:val="standardContextual"/>
            </w:rPr>
          </w:pPr>
          <w:hyperlink w:anchor="_Toc242962145" w:history="1">
            <w:r w:rsidRPr="00567CCE">
              <w:rPr>
                <w:rStyle w:val="23"/>
                <w:noProof/>
              </w:rPr>
              <w:t>第六章</w:t>
            </w:r>
            <w:r>
              <w:rPr>
                <w:rFonts w:hint="eastAsia"/>
                <w:b w:val="0"/>
                <w:noProof/>
                <w:sz w:val="22"/>
                <w:szCs w:val="24"/>
                <w14:ligatures w14:val="standardContextual"/>
              </w:rPr>
              <w:tab/>
            </w:r>
            <w:r w:rsidRPr="00567CCE">
              <w:rPr>
                <w:rStyle w:val="2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4464F7F0" w14:textId="08E39D71" w:rsidR="0005742B" w:rsidRDefault="0005742B">
          <w:pPr>
            <w:pStyle w:val="15"/>
            <w:tabs>
              <w:tab w:val="right" w:leader="dot" w:pos="8302"/>
            </w:tabs>
            <w:rPr>
              <w:rFonts w:hint="eastAsia"/>
              <w:noProof/>
              <w:sz w:val="22"/>
              <w:szCs w:val="24"/>
              <w14:ligatures w14:val="standardContextual"/>
            </w:rPr>
          </w:pPr>
          <w:hyperlink w:anchor="_Toc242962146" w:history="1">
            <w:r w:rsidRPr="00567CCE">
              <w:rPr>
                <w:rStyle w:val="23"/>
                <w:noProof/>
              </w:rPr>
              <w:t>6.1 项目成果与价值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0887ACA" w14:textId="01B30130" w:rsidR="0005742B" w:rsidRDefault="0005742B">
          <w:pPr>
            <w:pStyle w:val="15"/>
            <w:tabs>
              <w:tab w:val="right" w:leader="dot" w:pos="8302"/>
            </w:tabs>
            <w:rPr>
              <w:rFonts w:hint="eastAsia"/>
              <w:noProof/>
              <w:sz w:val="22"/>
              <w:szCs w:val="24"/>
              <w14:ligatures w14:val="standardContextual"/>
            </w:rPr>
          </w:pPr>
          <w:hyperlink w:anchor="_Toc242962147" w:history="1">
            <w:r w:rsidRPr="00567CCE">
              <w:rPr>
                <w:rStyle w:val="23"/>
                <w:noProof/>
              </w:rPr>
              <w:t>6.2 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EDB97F6" w14:textId="20820B95" w:rsidR="0005742B" w:rsidRDefault="0005742B">
          <w:pPr>
            <w:pStyle w:val="14"/>
            <w:rPr>
              <w:rFonts w:hint="eastAsia"/>
              <w:b w:val="0"/>
              <w:noProof/>
              <w:sz w:val="22"/>
              <w:szCs w:val="24"/>
              <w14:ligatures w14:val="standardContextual"/>
            </w:rPr>
          </w:pPr>
          <w:hyperlink w:anchor="_Toc242962148" w:history="1">
            <w:r w:rsidRPr="00567CCE">
              <w:rPr>
                <w:rStyle w:val="23"/>
                <w:rFonts w:ascii="Times New Roman"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_Toc242962148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BBC8128" w14:textId="09618685" w:rsidR="004E4FAE" w:rsidRDefault="004E4FAE">
          <w:pPr>
            <w:pStyle w:val="14"/>
            <w:spacing w:line="360" w:lineRule="auto"/>
            <w:rPr>
              <w:rFonts w:hint="eastAsia"/>
            </w:rPr>
          </w:pPr>
          <w:r>
            <w:rPr>
              <w:rFonts w:ascii="Times New Roman" w:eastAsia="华文楷体" w:hAnsi="Times New Roman" w:cs="Times New Roman"/>
              <w:lang w:val="zh-CN"/>
            </w:rPr>
            <w:fldChar w:fldCharType="end"/>
          </w:r>
        </w:p>
      </w:sdtContent>
    </w:sdt>
    <w:p w14:paraId="60C052F0">
      <w:pPr>
        <w:pStyle w:val="2"/>
        <w:numPr>
          <w:ilvl w:val="0"/>
          <w:numId w:val="0"/>
        </w:numPr>
        <w:spacing w:line="360" w:lineRule="auto"/>
        <w:ind w:leftChars="0"/>
        <w:rPr>
          <w:rFonts w:hint="default" w:ascii="Times New Roman" w:hAnsi="Times New Roman" w:cs="Times New Roman"/>
        </w:rPr>
      </w:pPr>
    </w:p>
    <w:p w14:paraId="676F9D01">
      <w:pPr>
        <w:rPr>
          <w:rFonts w:hint="default" w:ascii="Times New Roman" w:hAnsi="Times New Roman" w:cs="Times New Roman"/>
        </w:rPr>
      </w:pPr>
    </w:p>
    <w:p w14:paraId="5C1A7FDA">
      <w:pPr>
        <w:rPr>
          <w:rFonts w:hint="default" w:ascii="Times New Roman" w:hAnsi="Times New Roman" w:cs="Times New Roman"/>
        </w:rPr>
      </w:pPr>
    </w:p>
    <w:p w14:paraId="75AFB887">
      <w:pPr>
        <w:rPr>
          <w:rFonts w:hint="default" w:ascii="Times New Roman" w:hAnsi="Times New Roman" w:cs="Times New Roman"/>
        </w:rPr>
      </w:pPr>
    </w:p>
    <w:p w14:paraId="7CCD8DE2">
      <w:pPr>
        <w:rPr>
          <w:rFonts w:hint="default" w:ascii="Times New Roman" w:hAnsi="Times New Roman" w:cs="Times New Roman"/>
        </w:rPr>
      </w:pPr>
    </w:p>
    <w:p w14:paraId="1F144D28">
      <w:pPr>
        <w:rPr>
          <w:rFonts w:hint="default" w:ascii="Times New Roman" w:hAnsi="Times New Roman" w:cs="Times New Roman"/>
        </w:rPr>
      </w:pPr>
    </w:p>
    <w:p w14:paraId="6A09421C">
      <w:pPr>
        <w:rPr>
          <w:rFonts w:hint="default" w:ascii="Times New Roman" w:hAnsi="Times New Roman" w:cs="Times New Roman"/>
        </w:rPr>
      </w:pPr>
    </w:p>
    <w:p w14:paraId="37D872CA">
      <w:pPr>
        <w:rPr>
          <w:rFonts w:hint="default" w:ascii="Times New Roman" w:hAnsi="Times New Roman" w:cs="Times New Roman"/>
        </w:rPr>
      </w:pPr>
    </w:p>
    <w:p w14:paraId="10494DED">
      <w:pPr>
        <w:rPr>
          <w:rFonts w:hint="default" w:ascii="Times New Roman" w:hAnsi="Times New Roman" w:cs="Times New Roman"/>
        </w:rPr>
      </w:pPr>
    </w:p>
    <w:p w14:paraId="49781E55">
      <w:pPr>
        <w:rPr>
          <w:rFonts w:hint="default" w:ascii="Times New Roman" w:hAnsi="Times New Roman" w:cs="Times New Roman"/>
        </w:rPr>
      </w:pPr>
    </w:p>
    <w:p w14:paraId="3D4F731D">
      <w:pPr>
        <w:rPr>
          <w:rFonts w:hint="default" w:ascii="Times New Roman" w:hAnsi="Times New Roman" w:cs="Times New Roman"/>
        </w:rPr>
      </w:pPr>
    </w:p>
    <w:p w14:paraId="25614E16">
      <w:pPr>
        <w:rPr>
          <w:rFonts w:hint="default" w:ascii="Times New Roman" w:hAnsi="Times New Roman" w:cs="Times New Roman"/>
        </w:rPr>
      </w:pPr>
    </w:p>
    <w:p w14:paraId="3A4C3069">
      <w:pPr>
        <w:rPr>
          <w:rFonts w:hint="default" w:ascii="Times New Roman" w:hAnsi="Times New Roman" w:cs="Times New Roman"/>
        </w:rPr>
      </w:pPr>
    </w:p>
    <w:p w14:paraId="775D7607">
      <w:pPr>
        <w:rPr>
          <w:rFonts w:hint="default" w:ascii="Times New Roman" w:hAnsi="Times New Roman" w:cs="Times New Roman"/>
        </w:rPr>
      </w:pPr>
    </w:p>
    <w:p w14:paraId="159F6F8C">
      <w:pPr>
        <w:rPr>
          <w:rFonts w:hint="default" w:ascii="Times New Roman" w:hAnsi="Times New Roman" w:cs="Times New Roman"/>
        </w:rPr>
      </w:pPr>
    </w:p>
    <w:p w14:paraId="7917BEA8">
      <w:pPr>
        <w:rPr>
          <w:rFonts w:hint="default" w:ascii="Times New Roman" w:hAnsi="Times New Roman" w:cs="Times New Roman"/>
        </w:rPr>
      </w:pPr>
    </w:p>
    <w:p w14:paraId="7B98A0E2">
      <w:pPr>
        <w:rPr>
          <w:rFonts w:hint="default" w:ascii="Times New Roman" w:hAnsi="Times New Roman" w:cs="Times New Roman"/>
        </w:rPr>
      </w:pPr>
    </w:p>
    <w:p w14:paraId="112467A7">
      <w:pPr>
        <w:rPr>
          <w:rFonts w:hint="default" w:ascii="Times New Roman" w:hAnsi="Times New Roman" w:cs="Times New Roman"/>
        </w:rPr>
      </w:pPr>
    </w:p>
    <w:p w14:paraId="5C68C131">
      <w:pPr>
        <w:rPr>
          <w:rFonts w:hint="default" w:ascii="Times New Roman" w:hAnsi="Times New Roman" w:cs="Times New Roman"/>
        </w:rPr>
      </w:pPr>
    </w:p>
    <w:p w14:paraId="6CCF208D">
      <w:pPr>
        <w:rPr>
          <w:rFonts w:hint="default" w:ascii="Times New Roman" w:hAnsi="Times New Roman" w:cs="Times New Roman"/>
        </w:rPr>
      </w:pPr>
    </w:p>
    <w:p w14:paraId="3534127E">
      <w:pPr>
        <w:rPr>
          <w:rFonts w:hint="default" w:ascii="Times New Roman" w:hAnsi="Times New Roman" w:cs="Times New Roman"/>
        </w:rPr>
      </w:pPr>
    </w:p>
    <w:p w14:paraId="43191BDB">
      <w:pPr>
        <w:rPr>
          <w:rFonts w:hint="default" w:ascii="Times New Roman" w:hAnsi="Times New Roman" w:cs="Times New Roman"/>
        </w:rPr>
      </w:pPr>
    </w:p>
    <w:p w14:paraId="011D1306">
      <w:pPr>
        <w:rPr>
          <w:rFonts w:hint="default" w:ascii="Times New Roman" w:hAnsi="Times New Roman" w:cs="Times New Roman"/>
        </w:rPr>
      </w:pPr>
    </w:p>
    <w:p w14:paraId="5E3EA91D">
      <w:pPr>
        <w:rPr>
          <w:rFonts w:hint="default" w:ascii="Times New Roman" w:hAnsi="Times New Roman" w:cs="Times New Roman"/>
        </w:rPr>
      </w:pPr>
    </w:p>
    <w:p w14:paraId="0422E0CA">
      <w:pPr>
        <w:rPr>
          <w:rFonts w:hint="default" w:ascii="Times New Roman" w:hAnsi="Times New Roman" w:cs="Times New Roman"/>
        </w:rPr>
      </w:pPr>
    </w:p>
    <w:p w14:paraId="650BE15B">
      <w:pPr>
        <w:rPr>
          <w:rFonts w:hint="default" w:ascii="Times New Roman" w:hAnsi="Times New Roman" w:cs="Times New Roman"/>
        </w:rPr>
      </w:pPr>
    </w:p>
    <w:p w14:paraId="505AAC94">
      <w:pPr>
        <w:rPr>
          <w:rFonts w:hint="default" w:ascii="Times New Roman" w:hAnsi="Times New Roman" w:cs="Times New Roman"/>
        </w:rPr>
      </w:pPr>
    </w:p>
    <w:p w14:paraId="67DD71B8">
      <w:pPr>
        <w:rPr>
          <w:rFonts w:hint="default" w:ascii="Times New Roman" w:hAnsi="Times New Roman" w:cs="Times New Roman"/>
        </w:rPr>
      </w:pPr>
    </w:p>
    <w:p w14:paraId="7E4A5314">
      <w:pPr>
        <w:rPr>
          <w:rFonts w:hint="default" w:ascii="Times New Roman" w:hAnsi="Times New Roman" w:cs="Times New Roman"/>
        </w:rPr>
      </w:pPr>
    </w:p>
    <w:p w14:paraId="18520FBF">
      <w:pPr>
        <w:rPr>
          <w:rFonts w:hint="default" w:ascii="Times New Roman" w:hAnsi="Times New Roman" w:cs="Times New Roman"/>
        </w:rPr>
      </w:pPr>
    </w:p>
    <w:p w14:paraId="058AEB7D">
      <w:pPr>
        <w:pStyle w:val="2"/>
        <w:spacing w:line="360" w:lineRule="auto"/>
        <w:rPr>
          <w:rFonts w:hint="default" w:ascii="Times New Roman" w:hAnsi="Times New Roman" w:cs="Times New Roman"/>
        </w:rPr>
      </w:pPr>
      <w:bookmarkStart w:id="252" w:name="_Toc242962099"/>
      <w:r>
        <w:rPr>
          <w:rFonts w:hint="default" w:ascii="Times New Roman" w:hAnsi="Times New Roman" w:cs="Times New Roman"/>
        </w:rPr>
        <w:t>需求分析</w:t>
      </w:r>
      <w:bookmarkEnd w:id="252"/>
    </w:p>
    <w:p w14:paraId="0AE7633C">
      <w:pPr>
        <w:pStyle w:val="3"/>
        <w:bidi w:val="0"/>
        <w:rPr>
          <w:rFonts w:hint="default"/>
        </w:rPr>
      </w:pPr>
      <w:bookmarkStart w:id="253" w:name="_Toc242962100"/>
      <w:r>
        <w:rPr>
          <w:rFonts w:hint="eastAsia"/>
          <w:lang w:val="en-US" w:eastAsia="zh-CN"/>
        </w:rPr>
        <w:t>1.1</w:t>
      </w:r>
      <w:r>
        <w:rPr>
          <w:rFonts w:hint="default"/>
        </w:rPr>
        <w:t>研究背景</w:t>
      </w:r>
      <w:bookmarkEnd w:id="253"/>
    </w:p>
    <w:p w14:paraId="0E7DD3A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随着 Z 世代逐步步入成年、进入职场并参与更广泛的经济活动，这一群体正逐渐走上金融舞台，其消费、储蓄与投资选择将持续影响未来的经济生活。在校大学生作为 Z 世代的重要组成部分，正处于积累金融知识、形成财务观念与学习独立决策的关键阶段。其金融素养不仅关系到个人的财务安全、发展机会与长期生活质量，也将通过未来的家庭财务管理、消费选择和金融参与，对社会经济产生更广泛的影响。CFP Board（2026）指出，大学生早期的财务选择既会塑造自身的财务未来，也会对更广泛的经济产生影响。因此，关注大学生金融素养，既是回应青年个体成长需求，也是为未来社会培养具备理性决策能力的经济参与者。</w:t>
      </w:r>
      <w:r>
        <w:rPr>
          <w:rFonts w:ascii="Times New Roman" w:hAnsi="Times New Roman"/>
          <w:sz w:val="18"/>
          <w:vertAlign w:val="superscript"/>
        </w:rPr>
        <w:t>[1]</w:t>
      </w:r>
    </w:p>
    <w:p w14:paraId="2C516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然而，从经济依附走向财务独立，并不意味着财务决策能力能够同步成熟。生活费、奖助金与兼职收入使大学生逐步获得自主支配资金的空间，但预算安排、机会成本判断与长期规划等能力仍需要学习和实践。家庭金融社会化研究表明，家庭互动与教育经历是理解个体金融素养差异的重要因素（Gudmunson &amp; Danes, 2011）。在这一背景下，大学生可能面临“消费自主权先行、决策能力尚待完善”的矛盾。因此，本项目将决策支持不足作为切入点，探索如何通过日常可用的工具，帮助学生将金融知识转化为具体的消费判断。</w:t>
      </w:r>
      <w:r>
        <w:rPr>
          <w:rFonts w:ascii="Times New Roman" w:hAnsi="Times New Roman"/>
          <w:sz w:val="18"/>
          <w:vertAlign w:val="superscript"/>
        </w:rPr>
        <w:t>[2]</w:t>
      </w:r>
    </w:p>
    <w:p w14:paraId="3D6A1E2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数字支付环境进一步增加了这一问题的复杂性。Prelec 与 Loewenstein（1998）关于“支付痛感”及消费与支付关联的研究，为理解消费者如何感知支出提供了理论基础。后续一项综合 71 篇研究的元分析发现，相较于现金，非现金支付总体上与更高的消费支出相关，但效应大小受到消费情境等因素影响。这提示我们：支付便利性提升的同时，也需要帮助用户更清晰地理解支出的实际代价。对于正在学习独立管理资金的大学生而言，在消费发生前识别预算压力、比较替代用途并理解长期目标受到的影响，具有现实意义。</w:t>
      </w:r>
      <w:r>
        <w:rPr>
          <w:rFonts w:ascii="Times New Roman" w:hAnsi="Times New Roman"/>
          <w:sz w:val="18"/>
          <w:vertAlign w:val="superscript"/>
        </w:rPr>
        <w:t>[3-4]</w:t>
      </w:r>
    </w:p>
    <w:p w14:paraId="1D1E22D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交易记录与账单分析能够帮助用户了解资金去向，但从“看见已经花了多少钱”到“判断现在是否值得花这笔钱”，仍需要面向具体情境的决策支持。对大学生而言，一笔支出的意义不仅是账户余额减少，还可能意味着储蓄目标延后，或用于学习、出行和其他生活需求的资金空间缩小。因此，本项目关注消费决策发生之前的环节，尝试将抽象的收支信息转化为可理解、可比较的机会成本，为用户提供与自身预算和目标相联系的消费参考。</w:t>
      </w:r>
    </w:p>
    <w:p w14:paraId="666D4C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政策层面看，《国务院关于推进普惠金融高质量发展的实施意见》提出提升社会公众金融素养和金融能力、推进将金融知识纳入国民教育体系，并培养全生命周期财务管理理念。这为面向青年群体开展金融教育与决策支持工具研究提供了政策背景。基于上述需求，本项目打造青盈 YouthGain，一款面向大学生及初入职场青年的财务决策辅助工具，通过量化消费机会成本、结合情境化财商知识，提供计算依据清晰、可复核的消费参考，帮助用户在日常选择中逐步建立预算意识与长期规划能力。</w:t>
      </w:r>
      <w:r>
        <w:rPr>
          <w:rFonts w:ascii="Times New Roman" w:hAnsi="Times New Roman"/>
          <w:sz w:val="18"/>
          <w:vertAlign w:val="superscript"/>
        </w:rPr>
        <w:t>[5]</w:t>
      </w:r>
    </w:p>
    <w:p w14:paraId="568EF49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综上，大学生金融素养的提升，不仅关乎当下的消费管理，更关乎 Z 世代走向财务独立、参与未来经济生活的能力基础。青盈以消费决策前的量化支持为切入点，将金融知识融入青年日常生活，旨在帮助用户理解每一次支出与个人目标之间的关系，并在持续实践中形成更理性的财务习惯。本项目希望通过对工具使用效果的实证研究，探索支持青年财务成长的可行路径，为青年金融素养提升及未来社会的经济活力与金融健康提供参考。</w:t>
      </w:r>
    </w:p>
    <w:p w14:paraId="0F71AF69">
      <w:pPr>
        <w:pStyle w:val="3"/>
        <w:bidi w:val="0"/>
        <w:rPr>
          <w:rFonts w:hint="default"/>
          <w:lang w:val="en-US" w:eastAsia="zh-CN"/>
        </w:rPr>
      </w:pPr>
      <w:bookmarkStart w:id="254" w:name="_Toc242962101"/>
      <w:r>
        <w:rPr>
          <w:rFonts w:hint="default"/>
          <w:lang w:val="en-US" w:eastAsia="zh-CN"/>
        </w:rPr>
        <w:t>1.2</w:t>
      </w:r>
      <w:r>
        <w:rPr>
          <w:rFonts w:hint="default"/>
        </w:rPr>
        <w:t>研究</w:t>
      </w:r>
      <w:r>
        <w:rPr>
          <w:rFonts w:hint="default"/>
          <w:lang w:val="en-US" w:eastAsia="zh-CN"/>
        </w:rPr>
        <w:t>意义</w:t>
      </w:r>
      <w:bookmarkEnd w:id="254"/>
    </w:p>
    <w:p w14:paraId="4247B23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本项目将行为经济学理论转化为可运行、可复核、可开展校园试用的财务决策辅助工具，其研究意义主要体现在实践应用、工程技术与教育实证三个方面。</w:t>
      </w:r>
    </w:p>
    <w:p w14:paraId="448713F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实践意义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为大学生消费决策支持与校园行为干预提供可用的工具原型。</w:t>
      </w:r>
    </w:p>
    <w:p w14:paraId="385B781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聚焦消费决策发生前的环节，基于用户真实收支计算消费机会成本，并将消费金额换算为等价结余天数，帮助用户理解一笔支出与自身资金积累、预算安排之间的关系，为消费取舍提供直观的量化参照。同时，系统通过消费回访与每周复盘，将消费前的判断与消费后的实际体验联系起来，支持学生反思购买是否符合需求、是否影响原有预算与目标。</w:t>
      </w:r>
    </w:p>
    <w:p w14:paraId="27BBFC2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的实践价值在于，为大学生提供能够嵌入日常消费场景的决策辅助工具，也为高校开展小规模消费行为干预提供可部署的原型。通过校园试用收集使用反馈与行为记录，可进一步识别学生的实际需求、工具的使用障碍及适用场景，为后续产品改进和干预方案设计提供依据。</w:t>
      </w:r>
    </w:p>
    <w:p w14:paraId="534D620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工程技术意义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 AI 财务决策辅助工具提供计算与解释分离、结果可追溯的实现方法。</w:t>
      </w:r>
    </w:p>
    <w:p w14:paraId="76A9302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采用“确定性计算＋大模型解释”的双层架构：金额、时间与比例等量化结果由程序函数计算，大模型依据已生成的结果提供通俗解释。通过明确两层职责，并校验解释中的数字与程序输出是否一致，降低生成式模型直接参与财务计算所带来的错误风险。</w:t>
      </w:r>
      <w:r>
        <w:rPr>
          <w:rFonts w:ascii="Times New Roman" w:hAnsi="Times New Roman"/>
          <w:sz w:val="18"/>
          <w:vertAlign w:val="superscript"/>
        </w:rPr>
        <w:t>[6]</w:t>
      </w:r>
    </w:p>
    <w:p w14:paraId="30B5F90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时，项目将机会成本、心理账户等理论转化为具有明确输入、适用条件与输出的规则、阈值和检测器，并为分析结果保留计算依据，支持结果复核、问题定位与规则调整。其技术价值在于，探索从行为经济学概念到软件功能的具体转化路径，形成一套可复现、可测试、可维护的实现方法，为同类 AI 财务辅助工具的开发与可靠性验证提供工程参考。</w:t>
      </w:r>
      <w:r>
        <w:rPr>
          <w:rFonts w:ascii="Times New Roman" w:hAnsi="Times New Roman"/>
          <w:sz w:val="18"/>
          <w:vertAlign w:val="superscript"/>
        </w:rPr>
        <w:t>[7]</w:t>
      </w:r>
    </w:p>
    <w:p w14:paraId="0879BC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教育实证意义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为评价财商知识向独立决策能力的转化提供研究载体。</w:t>
      </w:r>
    </w:p>
    <w:p w14:paraId="78EEF0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系统通过情境练习、真实账单复盘与消费回访，将预算、机会成本等概念融入学生的实际消费经历，并保存答题与回访记录，为观察用户理解和运用相关概念的变化提供数据基础。</w:t>
      </w:r>
    </w:p>
    <w:p w14:paraId="3443EDC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重点关注学生能否将所学迁移到新的消费情境：在减少或撤去工具提示后，是否仍能独立制定预算、识别机会成本，并说明消费取舍的理由。后续可结合前后测、对照设计与新情境任务，评价工具使用与知识理解、决策能力变化之间的关系。其教育实证价值在于，为判断此类工具是否有助于形成可迁移的财务决策能力提供证据，并为高校选择教学辅助方式、完善财商教育评价提供参考。</w:t>
      </w:r>
      <w:r>
        <w:rPr>
          <w:rFonts w:ascii="Times New Roman" w:hAnsi="Times New Roman"/>
          <w:sz w:val="18"/>
          <w:vertAlign w:val="superscript"/>
        </w:rPr>
        <w:t>[8-9]</w:t>
      </w:r>
    </w:p>
    <w:p w14:paraId="777A8DA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因此，本项目预期形成的核心贡献是：一个可用于校园试用的消费决策辅助原型、一套计算与解释分离且结果可复核的工程实现方法，以及一条评价青年财务决策能力变化的实证研究路径，推动金融素养研究从知识讲解延伸到日常实践与效果检验。</w:t>
      </w:r>
    </w:p>
    <w:p w14:paraId="53F1C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139"/>
        <w:gridCol w:w="2891"/>
      </w:tblGrid>
      <w:tr w14:paraId="0FB0B4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8EEF5"/>
            <w:tcMar>
              <w:top w:w="90" w:type="dxa"/>
              <w:left w:w="90" w:type="dxa"/>
              <w:bottom w:w="90" w:type="dxa"/>
              <w:right w:w="90" w:type="dxa"/>
            </w:tcMar>
            <w:vAlign w:val="center"/>
          </w:tcPr>
          <w:p w14:paraId="3DC9C8C4">
            <w:pPr>
              <w:keepNext/>
              <w:spacing w:after="20" w:line="288" w:lineRule="auto"/>
            </w:pPr>
            <w:r>
              <w:rPr>
                <w:b/>
                <w:sz w:val="19"/>
              </w:rPr>
              <w:t>学科启发</w:t>
            </w:r>
          </w:p>
        </w:tc>
        <w:tc>
          <w:tcPr>
            <w:tcW w:w="4139" w:type="dxa"/>
            <w:shd w:val="clear" w:color="auto" w:fill="E8EEF5"/>
            <w:tcMar>
              <w:top w:w="90" w:type="dxa"/>
              <w:left w:w="90" w:type="dxa"/>
              <w:bottom w:w="90" w:type="dxa"/>
              <w:right w:w="90" w:type="dxa"/>
            </w:tcMar>
            <w:vAlign w:val="center"/>
          </w:tcPr>
          <w:p w14:paraId="09A6DF6A">
            <w:pPr>
              <w:keepNext/>
              <w:spacing w:after="20" w:line="288" w:lineRule="auto"/>
            </w:pPr>
            <w:r>
              <w:rPr>
                <w:b/>
                <w:sz w:val="19"/>
              </w:rPr>
              <w:t>工程化处理</w:t>
            </w:r>
          </w:p>
        </w:tc>
        <w:tc>
          <w:tcPr>
            <w:tcW w:w="2891" w:type="dxa"/>
            <w:shd w:val="clear" w:color="auto" w:fill="E8EEF5"/>
            <w:tcMar>
              <w:top w:w="90" w:type="dxa"/>
              <w:left w:w="90" w:type="dxa"/>
              <w:bottom w:w="90" w:type="dxa"/>
              <w:right w:w="90" w:type="dxa"/>
            </w:tcMar>
            <w:vAlign w:val="center"/>
          </w:tcPr>
          <w:p w14:paraId="2496CA9E">
            <w:pPr>
              <w:keepNext/>
              <w:spacing w:after="20" w:line="288" w:lineRule="auto"/>
            </w:pPr>
            <w:r>
              <w:rPr>
                <w:b/>
                <w:sz w:val="19"/>
              </w:rPr>
              <w:t>用户能学到什么</w:t>
            </w:r>
          </w:p>
        </w:tc>
      </w:tr>
      <w:tr w14:paraId="6ED2E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FD9D94E">
            <w:pPr>
              <w:spacing w:after="20" w:line="288" w:lineRule="auto"/>
            </w:pPr>
            <w:r>
              <w:rPr>
                <w:sz w:val="19"/>
              </w:rPr>
              <w:t>机会成本与跨期选择</w:t>
            </w:r>
          </w:p>
        </w:tc>
        <w:tc>
          <w:tcPr>
            <w:tcW w:w="4139" w:type="dxa"/>
            <w:tcMar>
              <w:top w:w="90" w:type="dxa"/>
              <w:left w:w="90" w:type="dxa"/>
              <w:bottom w:w="90" w:type="dxa"/>
              <w:right w:w="90" w:type="dxa"/>
            </w:tcMar>
            <w:vAlign w:val="center"/>
          </w:tcPr>
          <w:p w14:paraId="6EE733EC">
            <w:pPr>
              <w:spacing w:after="20" w:line="288" w:lineRule="auto"/>
            </w:pPr>
            <w:r>
              <w:rPr>
                <w:sz w:val="19"/>
              </w:rPr>
              <w:t>将消费金额除以个人日均结余，得到等价结余天数</w:t>
            </w:r>
          </w:p>
        </w:tc>
        <w:tc>
          <w:tcPr>
            <w:tcW w:w="2891" w:type="dxa"/>
            <w:tcMar>
              <w:top w:w="90" w:type="dxa"/>
              <w:left w:w="90" w:type="dxa"/>
              <w:bottom w:w="90" w:type="dxa"/>
              <w:right w:w="90" w:type="dxa"/>
            </w:tcMar>
            <w:vAlign w:val="center"/>
          </w:tcPr>
          <w:p w14:paraId="7249374F">
            <w:pPr>
              <w:spacing w:after="20" w:line="288" w:lineRule="auto"/>
            </w:pPr>
            <w:r>
              <w:rPr>
                <w:sz w:val="19"/>
              </w:rPr>
              <w:t>比较当前消费与未来目标的取舍</w:t>
            </w:r>
          </w:p>
        </w:tc>
      </w:tr>
      <w:tr w14:paraId="0B2C8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108A90CF">
            <w:pPr>
              <w:spacing w:after="20" w:line="288" w:lineRule="auto"/>
            </w:pPr>
            <w:r>
              <w:rPr>
                <w:sz w:val="19"/>
              </w:rPr>
              <w:t>心理账户与预算约束</w:t>
            </w:r>
          </w:p>
        </w:tc>
        <w:tc>
          <w:tcPr>
            <w:tcW w:w="4139" w:type="dxa"/>
            <w:tcMar>
              <w:top w:w="90" w:type="dxa"/>
              <w:left w:w="90" w:type="dxa"/>
              <w:bottom w:w="90" w:type="dxa"/>
              <w:right w:w="90" w:type="dxa"/>
            </w:tcMar>
            <w:vAlign w:val="center"/>
          </w:tcPr>
          <w:p w14:paraId="24B6212D">
            <w:pPr>
              <w:spacing w:after="20" w:line="288" w:lineRule="auto"/>
            </w:pPr>
            <w:r>
              <w:rPr>
                <w:sz w:val="19"/>
              </w:rPr>
              <w:t>按月汇总收入和支出，区分固定与变动支出</w:t>
            </w:r>
          </w:p>
        </w:tc>
        <w:tc>
          <w:tcPr>
            <w:tcW w:w="2891" w:type="dxa"/>
            <w:tcMar>
              <w:top w:w="90" w:type="dxa"/>
              <w:left w:w="90" w:type="dxa"/>
              <w:bottom w:w="90" w:type="dxa"/>
              <w:right w:w="90" w:type="dxa"/>
            </w:tcMar>
            <w:vAlign w:val="center"/>
          </w:tcPr>
          <w:p w14:paraId="40F1B7AE">
            <w:pPr>
              <w:spacing w:after="20" w:line="288" w:lineRule="auto"/>
            </w:pPr>
            <w:r>
              <w:rPr>
                <w:sz w:val="19"/>
              </w:rPr>
              <w:t>看清预算中较难调整与可调整的部分</w:t>
            </w:r>
          </w:p>
        </w:tc>
      </w:tr>
      <w:tr w14:paraId="4C25F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D8D4A47">
            <w:pPr>
              <w:spacing w:after="20" w:line="288" w:lineRule="auto"/>
            </w:pPr>
            <w:r>
              <w:rPr>
                <w:sz w:val="19"/>
              </w:rPr>
              <w:t>对小额支出的感知不足</w:t>
            </w:r>
          </w:p>
        </w:tc>
        <w:tc>
          <w:tcPr>
            <w:tcW w:w="4139" w:type="dxa"/>
            <w:tcMar>
              <w:top w:w="90" w:type="dxa"/>
              <w:left w:w="90" w:type="dxa"/>
              <w:bottom w:w="90" w:type="dxa"/>
              <w:right w:w="90" w:type="dxa"/>
            </w:tcMar>
            <w:vAlign w:val="center"/>
          </w:tcPr>
          <w:p w14:paraId="6E013D53">
            <w:pPr>
              <w:spacing w:after="20" w:line="288" w:lineRule="auto"/>
            </w:pPr>
            <w:r>
              <w:rPr>
                <w:sz w:val="19"/>
              </w:rPr>
              <w:t>汇总单笔不超过30元的同类消费，判断累计占比</w:t>
            </w:r>
          </w:p>
        </w:tc>
        <w:tc>
          <w:tcPr>
            <w:tcW w:w="2891" w:type="dxa"/>
            <w:tcMar>
              <w:top w:w="90" w:type="dxa"/>
              <w:left w:w="90" w:type="dxa"/>
              <w:bottom w:w="90" w:type="dxa"/>
              <w:right w:w="90" w:type="dxa"/>
            </w:tcMar>
            <w:vAlign w:val="center"/>
          </w:tcPr>
          <w:p w14:paraId="602917C2">
            <w:pPr>
              <w:spacing w:after="20" w:line="288" w:lineRule="auto"/>
            </w:pPr>
            <w:r>
              <w:rPr>
                <w:sz w:val="19"/>
              </w:rPr>
              <w:t>理解频次怎样改变总成本</w:t>
            </w:r>
          </w:p>
        </w:tc>
      </w:tr>
      <w:tr w14:paraId="4E10D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B5E9287">
            <w:pPr>
              <w:spacing w:after="20" w:line="288" w:lineRule="auto"/>
            </w:pPr>
            <w:r>
              <w:rPr>
                <w:sz w:val="19"/>
              </w:rPr>
              <w:t>情境影响消费决策</w:t>
            </w:r>
          </w:p>
        </w:tc>
        <w:tc>
          <w:tcPr>
            <w:tcW w:w="4139" w:type="dxa"/>
            <w:tcMar>
              <w:top w:w="90" w:type="dxa"/>
              <w:left w:w="90" w:type="dxa"/>
              <w:bottom w:w="90" w:type="dxa"/>
              <w:right w:w="90" w:type="dxa"/>
            </w:tcMar>
            <w:vAlign w:val="center"/>
          </w:tcPr>
          <w:p w14:paraId="52275063">
            <w:pPr>
              <w:spacing w:after="20" w:line="288" w:lineRule="auto"/>
            </w:pPr>
            <w:r>
              <w:rPr>
                <w:sz w:val="19"/>
              </w:rPr>
              <w:t>分别检测到账后、深夜、周末等消费集中现象</w:t>
            </w:r>
          </w:p>
        </w:tc>
        <w:tc>
          <w:tcPr>
            <w:tcW w:w="2891" w:type="dxa"/>
            <w:tcMar>
              <w:top w:w="90" w:type="dxa"/>
              <w:left w:w="90" w:type="dxa"/>
              <w:bottom w:w="90" w:type="dxa"/>
              <w:right w:w="90" w:type="dxa"/>
            </w:tcMar>
            <w:vAlign w:val="center"/>
          </w:tcPr>
          <w:p w14:paraId="6F1570AD">
            <w:pPr>
              <w:spacing w:after="20" w:line="288" w:lineRule="auto"/>
            </w:pPr>
            <w:r>
              <w:rPr>
                <w:sz w:val="19"/>
              </w:rPr>
              <w:t>找到需要进一步回看记录的时段</w:t>
            </w:r>
          </w:p>
        </w:tc>
      </w:tr>
      <w:tr w14:paraId="202F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D996BAC">
            <w:pPr>
              <w:spacing w:after="20" w:line="288" w:lineRule="auto"/>
            </w:pPr>
            <w:r>
              <w:rPr>
                <w:sz w:val="19"/>
              </w:rPr>
              <w:t>决策后的反思</w:t>
            </w:r>
          </w:p>
        </w:tc>
        <w:tc>
          <w:tcPr>
            <w:tcW w:w="4139" w:type="dxa"/>
            <w:tcMar>
              <w:top w:w="90" w:type="dxa"/>
              <w:left w:w="90" w:type="dxa"/>
              <w:bottom w:w="90" w:type="dxa"/>
              <w:right w:w="90" w:type="dxa"/>
            </w:tcMar>
            <w:vAlign w:val="center"/>
          </w:tcPr>
          <w:p w14:paraId="02827D95">
            <w:pPr>
              <w:spacing w:after="20" w:line="288" w:lineRule="auto"/>
            </w:pPr>
            <w:r>
              <w:rPr>
                <w:sz w:val="19"/>
              </w:rPr>
              <w:t>收集“值或不值”的回访，汇总后悔金额和类别</w:t>
            </w:r>
          </w:p>
        </w:tc>
        <w:tc>
          <w:tcPr>
            <w:tcW w:w="2891" w:type="dxa"/>
            <w:tcMar>
              <w:top w:w="90" w:type="dxa"/>
              <w:left w:w="90" w:type="dxa"/>
              <w:bottom w:w="90" w:type="dxa"/>
              <w:right w:w="90" w:type="dxa"/>
            </w:tcMar>
            <w:vAlign w:val="center"/>
          </w:tcPr>
          <w:p w14:paraId="74BECA96">
            <w:pPr>
              <w:spacing w:after="20" w:line="288" w:lineRule="auto"/>
            </w:pPr>
            <w:r>
              <w:rPr>
                <w:sz w:val="19"/>
              </w:rPr>
              <w:t>用自己的体验修正下一次选择</w:t>
            </w:r>
          </w:p>
        </w:tc>
      </w:tr>
    </w:tbl>
    <w:p w14:paraId="6DD4B1E7">
      <w:pPr>
        <w:numPr>
          <w:ilvl w:val="0"/>
          <w:numId w:val="0"/>
        </w:numPr>
        <w:spacing w:line="360" w:lineRule="auto"/>
        <w:ind w:firstLine="361" w:firstLineChars="200"/>
        <w:jc w:val="center"/>
        <w:rPr>
          <w:rFonts w:hint="default" w:ascii="宋体" w:hAnsi="宋体" w:eastAsia="宋体" w:cs="宋体"/>
          <w:b/>
          <w:bCs/>
          <w:i w:val="0"/>
          <w:iCs w:val="0"/>
          <w:caps w:val="0"/>
          <w:color w:val="1C1F23"/>
          <w:spacing w:val="0"/>
          <w:sz w:val="18"/>
          <w:szCs w:val="18"/>
          <w:shd w:val="clear" w:fill="FFFFFF"/>
          <w:lang w:val="en-US" w:eastAsia="zh-CN"/>
        </w:rPr>
      </w:pPr>
      <w:r>
        <w:rPr>
          <w:rFonts w:hint="default" w:ascii="宋体" w:hAnsi="宋体" w:eastAsia="宋体" w:cs="宋体"/>
          <w:b/>
          <w:bCs/>
          <w:i w:val="0"/>
          <w:iCs w:val="0"/>
          <w:caps w:val="0"/>
          <w:color w:val="1C1F23"/>
          <w:spacing w:val="0"/>
          <w:sz w:val="18"/>
          <w:szCs w:val="18"/>
          <w:shd w:val="clear" w:fill="FFFFFF"/>
          <w:lang w:val="en-US" w:eastAsia="zh-CN"/>
        </w:rPr>
        <w:t>表1</w:t>
      </w:r>
      <w:r>
        <w:rPr>
          <w:rFonts w:hint="eastAsia" w:ascii="宋体" w:hAnsi="宋体" w:eastAsia="宋体" w:cs="宋体"/>
          <w:b/>
          <w:bCs/>
          <w:i w:val="0"/>
          <w:iCs w:val="0"/>
          <w:caps w:val="0"/>
          <w:color w:val="1C1F23"/>
          <w:spacing w:val="0"/>
          <w:sz w:val="18"/>
          <w:szCs w:val="18"/>
          <w:shd w:val="clear" w:fill="FFFFFF"/>
          <w:lang w:val="en-US" w:eastAsia="zh-CN"/>
        </w:rPr>
        <w:t>.1</w:t>
      </w:r>
      <w:r>
        <w:rPr>
          <w:rFonts w:hint="default" w:ascii="宋体" w:hAnsi="宋体" w:eastAsia="宋体" w:cs="宋体"/>
          <w:b/>
          <w:bCs/>
          <w:i w:val="0"/>
          <w:iCs w:val="0"/>
          <w:caps w:val="0"/>
          <w:color w:val="1C1F23"/>
          <w:spacing w:val="0"/>
          <w:sz w:val="18"/>
          <w:szCs w:val="18"/>
          <w:shd w:val="clear" w:fill="FFFFFF"/>
          <w:lang w:val="en-US" w:eastAsia="zh-CN"/>
        </w:rPr>
        <w:t xml:space="preserve"> 学科理论与算法功能对应</w:t>
      </w:r>
    </w:p>
    <w:p w14:paraId="611A70A2">
      <w:pPr>
        <w:pStyle w:val="3"/>
        <w:bidi w:val="0"/>
        <w:rPr>
          <w:rFonts w:hint="default"/>
        </w:rPr>
      </w:pPr>
      <w:bookmarkStart w:id="256" w:name="_Toc242962102"/>
      <w:bookmarkStart w:id="255" w:name="_Toc242910592"/>
      <w:r>
        <w:t>1.3 学科需求与应用场景</w:t>
      </w:r>
      <w:bookmarkEnd w:id="255"/>
      <w:bookmarkEnd w:id="256"/>
    </w:p>
    <w:p w14:paraId="4E5FEF30">
      <w:pPr>
        <w:numPr>
          <w:ilvl w:val="0"/>
          <w:numId w:val="0"/>
        </w:numPr>
        <w:spacing w:line="360" w:lineRule="auto"/>
        <w:ind w:firstLine="420" w:firstLineChars="200"/>
        <w:rPr>
          <w:rFonts w:hint="eastAsi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以金融学中的个人财务管理与金融素养教育为主线，行为经济学提供解释支出感知和资金取舍的视角，人工智能承担知识匹配、语言解释与学习内容选择。核心应用环节是高校金融素养教育中的课外自主学习与实践训练，主要用户为有生活费或兼职收入、需要独立安排预算的在校本科生。初入职场青年作为后续扩展人群。</w:t>
      </w:r>
      <w:r>
        <w:rPr>
          <w:rFonts w:ascii="Times New Roman" w:hAnsi="Times New Roman"/>
          <w:sz w:val="18"/>
          <w:vertAlign w:val="superscript"/>
        </w:rPr>
        <w:t>[10]</w:t>
      </w:r>
    </w:p>
    <w:p w14:paraId="5167E1B9">
      <w:pPr>
        <w:pStyle w:val="7"/>
        <w:keepNext/>
        <w:jc w:val="center"/>
      </w:pPr>
      <w:r>
        <w:t>表1-1 学科需求与技术功能对应</w:t>
      </w:r>
    </w:p>
    <w:tbl>
      <w:tblPr>
        <w:tblStyle w:val="19"/>
        <w:tblW w:w="0" w:type="auto"/>
        <w:jc w:val="center"/>
        <w:tblLayout w:type="fixed"/>
        <w:tblCellMar>
          <w:top w:w="0" w:type="dxa"/>
          <w:left w:w="108" w:type="dxa"/>
          <w:bottom w:w="0" w:type="dxa"/>
          <w:right w:w="108" w:type="dxa"/>
        </w:tblCellMar>
      </w:tblPr>
      <w:tblGrid>
        <w:gridCol w:w="2268"/>
        <w:gridCol w:w="3402"/>
        <w:gridCol w:w="3572"/>
      </w:tblGrid>
      <w:tr w14:paraId="25D60ACA">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94B5585">
            <w:pPr>
              <w:keepNext/>
              <w:spacing w:after="40" w:line="276" w:lineRule="auto"/>
              <w:rPr>
                <w:rFonts w:hint="eastAsia"/>
              </w:rPr>
            </w:pPr>
            <w:r>
              <w:rPr>
                <w:rFonts w:ascii="Times New Roman" w:hAnsi="Times New Roman" w:eastAsia="宋体"/>
                <w:b/>
                <w:sz w:val="20"/>
              </w:rPr>
              <w:t>学科问题</w:t>
            </w:r>
          </w:p>
        </w:tc>
        <w:tc>
          <w:tcPr>
            <w:tcW w:w="340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A1C8496">
            <w:pPr>
              <w:keepNext/>
              <w:spacing w:after="40" w:line="276" w:lineRule="auto"/>
              <w:rPr>
                <w:rFonts w:hint="eastAsia"/>
              </w:rPr>
            </w:pPr>
            <w:r>
              <w:rPr>
                <w:rFonts w:ascii="Times New Roman" w:hAnsi="Times New Roman" w:eastAsia="宋体"/>
                <w:b/>
                <w:sz w:val="20"/>
              </w:rPr>
              <w:t>技术与功能</w:t>
            </w:r>
          </w:p>
        </w:tc>
        <w:tc>
          <w:tcPr>
            <w:tcW w:w="357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3177451">
            <w:pPr>
              <w:keepNext/>
              <w:spacing w:after="40" w:line="276" w:lineRule="auto"/>
              <w:rPr>
                <w:rFonts w:hint="eastAsia"/>
              </w:rPr>
            </w:pPr>
            <w:r>
              <w:rPr>
                <w:rFonts w:ascii="Times New Roman" w:hAnsi="Times New Roman" w:eastAsia="宋体"/>
                <w:b/>
                <w:sz w:val="20"/>
              </w:rPr>
              <w:t>可观察的学习表现</w:t>
            </w:r>
          </w:p>
        </w:tc>
      </w:tr>
      <w:tr w14:paraId="118B7085">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68A62D">
            <w:pPr>
              <w:keepNext/>
              <w:spacing w:after="40" w:line="276" w:lineRule="auto"/>
              <w:rPr>
                <w:rFonts w:hint="eastAsia"/>
              </w:rPr>
            </w:pPr>
            <w:r>
              <w:rPr>
                <w:rFonts w:ascii="Times New Roman" w:hAnsi="Times New Roman" w:eastAsia="宋体"/>
                <w:sz w:val="20"/>
              </w:rPr>
              <w:t>预算与资金状态容易混淆</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BBC812">
            <w:pPr>
              <w:keepNext/>
              <w:spacing w:after="40" w:line="276" w:lineRule="auto"/>
              <w:rPr>
                <w:rFonts w:hint="eastAsia"/>
              </w:rPr>
            </w:pPr>
            <w:r>
              <w:rPr>
                <w:rFonts w:ascii="Times New Roman" w:hAnsi="Times New Roman" w:eastAsia="宋体"/>
                <w:sz w:val="20"/>
              </w:rPr>
              <w:t>统一资金口径、确定性预算工具</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F7051A">
            <w:pPr>
              <w:keepNext/>
              <w:spacing w:after="40" w:line="276" w:lineRule="auto"/>
              <w:rPr>
                <w:rFonts w:hint="eastAsia"/>
              </w:rPr>
            </w:pPr>
            <w:r>
              <w:rPr>
                <w:rFonts w:ascii="Times New Roman" w:hAnsi="Times New Roman" w:eastAsia="宋体"/>
                <w:sz w:val="20"/>
              </w:rPr>
              <w:t>能区分余额、收入、支出和储蓄划拨</w:t>
            </w:r>
          </w:p>
        </w:tc>
      </w:tr>
      <w:tr w14:paraId="258DC4D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D684907">
            <w:pPr>
              <w:keepNext/>
              <w:spacing w:after="40" w:line="276" w:lineRule="auto"/>
              <w:rPr>
                <w:rFonts w:hint="eastAsia"/>
              </w:rPr>
            </w:pPr>
            <w:r>
              <w:rPr>
                <w:rFonts w:ascii="Times New Roman" w:hAnsi="Times New Roman" w:eastAsia="宋体"/>
                <w:sz w:val="20"/>
              </w:rPr>
              <w:t>机会成本等概念较抽象</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C6598D">
            <w:pPr>
              <w:keepNext/>
              <w:spacing w:after="40" w:line="276" w:lineRule="auto"/>
              <w:rPr>
                <w:rFonts w:hint="eastAsia"/>
              </w:rPr>
            </w:pPr>
            <w:r>
              <w:rPr>
                <w:rFonts w:ascii="Times New Roman" w:hAnsi="Times New Roman" w:eastAsia="宋体"/>
                <w:sz w:val="20"/>
              </w:rPr>
              <w:t>等价结余天数、方案比较与解释</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663F0E">
            <w:pPr>
              <w:keepNext/>
              <w:spacing w:after="40" w:line="276" w:lineRule="auto"/>
              <w:rPr>
                <w:rFonts w:hint="eastAsia"/>
              </w:rPr>
            </w:pPr>
            <w:r>
              <w:rPr>
                <w:rFonts w:ascii="Times New Roman" w:hAnsi="Times New Roman" w:eastAsia="宋体"/>
                <w:sz w:val="20"/>
              </w:rPr>
              <w:t>能说明假设，比较不同资金用途</w:t>
            </w:r>
          </w:p>
        </w:tc>
      </w:tr>
      <w:tr w14:paraId="5F12800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C55441">
            <w:pPr>
              <w:keepNext/>
              <w:spacing w:after="40" w:line="276" w:lineRule="auto"/>
              <w:rPr>
                <w:rFonts w:hint="eastAsia"/>
              </w:rPr>
            </w:pPr>
            <w:r>
              <w:rPr>
                <w:rFonts w:ascii="Times New Roman" w:hAnsi="Times New Roman" w:eastAsia="宋体"/>
                <w:sz w:val="20"/>
              </w:rPr>
              <w:t>知识难以关联实际问题</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3E2DE3">
            <w:pPr>
              <w:keepNext/>
              <w:spacing w:after="40" w:line="276" w:lineRule="auto"/>
              <w:rPr>
                <w:rFonts w:hint="eastAsia"/>
              </w:rPr>
            </w:pPr>
            <w:r>
              <w:rPr>
                <w:rFonts w:ascii="Times New Roman" w:hAnsi="Times New Roman" w:eastAsia="宋体"/>
                <w:sz w:val="20"/>
              </w:rPr>
              <w:t>混合检索、财务工具与 AI 教练</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F7322FF">
            <w:pPr>
              <w:keepNext/>
              <w:spacing w:after="40" w:line="276" w:lineRule="auto"/>
              <w:rPr>
                <w:rFonts w:hint="eastAsia"/>
              </w:rPr>
            </w:pPr>
            <w:r>
              <w:rPr>
                <w:rFonts w:ascii="Times New Roman" w:hAnsi="Times New Roman" w:eastAsia="宋体"/>
                <w:sz w:val="20"/>
              </w:rPr>
              <w:t>能结合依据解释自己的判断</w:t>
            </w:r>
          </w:p>
        </w:tc>
      </w:tr>
      <w:tr w14:paraId="18669C93">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C776BF">
            <w:pPr>
              <w:keepNext/>
              <w:spacing w:after="40" w:line="276" w:lineRule="auto"/>
              <w:rPr>
                <w:rFonts w:hint="eastAsia"/>
              </w:rPr>
            </w:pPr>
            <w:r>
              <w:rPr>
                <w:rFonts w:ascii="Times New Roman" w:hAnsi="Times New Roman" w:eastAsia="宋体"/>
                <w:sz w:val="20"/>
              </w:rPr>
              <w:t>学习主题与当前需求脱节</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23592C">
            <w:pPr>
              <w:keepNext/>
              <w:spacing w:after="40" w:line="276" w:lineRule="auto"/>
              <w:rPr>
                <w:rFonts w:hint="eastAsia"/>
              </w:rPr>
            </w:pPr>
            <w:r>
              <w:rPr>
                <w:rFonts w:ascii="Times New Roman" w:hAnsi="Times New Roman" w:eastAsia="宋体"/>
                <w:sz w:val="20"/>
              </w:rPr>
              <w:t>HSTU 序列建模和财务条件融合</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20DA61">
            <w:pPr>
              <w:keepNext/>
              <w:spacing w:after="40" w:line="276" w:lineRule="auto"/>
              <w:rPr>
                <w:rFonts w:hint="eastAsia"/>
              </w:rPr>
            </w:pPr>
            <w:r>
              <w:rPr>
                <w:rFonts w:ascii="Times New Roman" w:hAnsi="Times New Roman" w:eastAsia="宋体"/>
                <w:sz w:val="20"/>
              </w:rPr>
              <w:t>能选择并持续接触适用知识</w:t>
            </w:r>
          </w:p>
        </w:tc>
      </w:tr>
      <w:tr w14:paraId="756330EC">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916502">
            <w:pPr>
              <w:spacing w:after="40" w:line="276" w:lineRule="auto"/>
              <w:rPr>
                <w:rFonts w:hint="eastAsia"/>
              </w:rPr>
            </w:pPr>
            <w:r>
              <w:rPr>
                <w:rFonts w:ascii="Times New Roman" w:hAnsi="Times New Roman" w:eastAsia="宋体"/>
                <w:sz w:val="20"/>
              </w:rPr>
              <w:t>会做原题但难以迁移</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DCBAA4">
            <w:pPr>
              <w:spacing w:after="40" w:line="276" w:lineRule="auto"/>
              <w:rPr>
                <w:rFonts w:hint="eastAsia"/>
              </w:rPr>
            </w:pPr>
            <w:r>
              <w:rPr>
                <w:rFonts w:ascii="Times New Roman" w:hAnsi="Times New Roman" w:eastAsia="宋体"/>
                <w:sz w:val="20"/>
              </w:rPr>
              <w:t>新情境练习、回访和延迟测评</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F11945">
            <w:pPr>
              <w:spacing w:after="40" w:line="276" w:lineRule="auto"/>
              <w:rPr>
                <w:rFonts w:hint="eastAsia"/>
              </w:rPr>
            </w:pPr>
            <w:r>
              <w:rPr>
                <w:rFonts w:ascii="Times New Roman" w:hAnsi="Times New Roman" w:eastAsia="宋体"/>
                <w:sz w:val="20"/>
              </w:rPr>
              <w:t>减少提示后仍能独立安排预算</w:t>
            </w:r>
          </w:p>
        </w:tc>
      </w:tr>
    </w:tbl>
    <w:p w14:paraId="7958CB29">
      <w:pPr>
        <w:ind w:firstLine="420"/>
        <w:rPr>
          <w:rFonts w:hint="eastAsia"/>
        </w:rPr>
      </w:pPr>
    </w:p>
    <w:p w14:paraId="5E76E6C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典型场景包括：生活费到账后的月度安排、准备购买设备时的方案比较、考试费等未来开支预留，以及消费后的体验回访。收入不固定或记录不完整时，系统先说明未知条件；无正结余时，不输出等价结余天数，仍可通过资金清单、预算梳理和知识学习提供帮助。</w:t>
      </w:r>
    </w:p>
    <w:p w14:paraId="1280E02D">
      <w:pPr>
        <w:pStyle w:val="3"/>
        <w:bidi w:val="0"/>
        <w:rPr>
          <w:rFonts w:hint="default"/>
        </w:rPr>
      </w:pPr>
      <w:bookmarkStart w:id="258" w:name="_Toc242962103"/>
      <w:bookmarkStart w:id="257" w:name="_Toc242910593"/>
      <w:r>
        <w:t>1.4 同类方案与项目目标</w:t>
      </w:r>
      <w:bookmarkEnd w:id="257"/>
      <w:bookmarkEnd w:id="258"/>
    </w:p>
    <w:p w14:paraId="7524DD6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类能力参照包括记账工具、通用知识资料和通用对话助手。比较重点是各类方式在本项目学习任务中的职责与限制，具体产品是否具有某项功能应以对应版本为准。青盈的定位是把记录、计算、解释和学习评价组织成同一实践过程。</w:t>
      </w:r>
    </w:p>
    <w:p w14:paraId="224FE948">
      <w:pPr>
        <w:pStyle w:val="7"/>
        <w:keepNext/>
        <w:jc w:val="center"/>
      </w:pPr>
      <w:r>
        <w:t>表1-2 同类方式与青盈的应用定位</w:t>
      </w:r>
    </w:p>
    <w:tbl>
      <w:tblPr>
        <w:tblStyle w:val="19"/>
        <w:tblW w:w="0" w:type="auto"/>
        <w:jc w:val="center"/>
        <w:tblLayout w:type="fixed"/>
        <w:tblCellMar>
          <w:top w:w="0" w:type="dxa"/>
          <w:left w:w="108" w:type="dxa"/>
          <w:bottom w:w="0" w:type="dxa"/>
          <w:right w:w="108" w:type="dxa"/>
        </w:tblCellMar>
      </w:tblPr>
      <w:tblGrid>
        <w:gridCol w:w="2098"/>
        <w:gridCol w:w="3118"/>
        <w:gridCol w:w="4025"/>
      </w:tblGrid>
      <w:tr w14:paraId="6429FC0B">
        <w:tblPrEx>
          <w:tblCellMar>
            <w:top w:w="0" w:type="dxa"/>
            <w:left w:w="108" w:type="dxa"/>
            <w:bottom w:w="0" w:type="dxa"/>
            <w:right w:w="108" w:type="dxa"/>
          </w:tblCellMar>
        </w:tblPrEx>
        <w:trPr>
          <w:cantSplit/>
          <w:tblHeader/>
          <w:jc w:val="center"/>
        </w:trPr>
        <w:tc>
          <w:tcPr>
            <w:tcW w:w="209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EB52FAB">
            <w:pPr>
              <w:keepNext/>
              <w:spacing w:after="40" w:line="276" w:lineRule="auto"/>
              <w:rPr>
                <w:rFonts w:hint="eastAsia"/>
              </w:rPr>
            </w:pPr>
            <w:r>
              <w:rPr>
                <w:rFonts w:ascii="Times New Roman" w:hAnsi="Times New Roman" w:eastAsia="宋体"/>
                <w:b/>
                <w:sz w:val="20"/>
              </w:rPr>
              <w:t>参照方式</w:t>
            </w:r>
          </w:p>
        </w:tc>
        <w:tc>
          <w:tcPr>
            <w:tcW w:w="311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7F29C06">
            <w:pPr>
              <w:keepNext/>
              <w:spacing w:after="40" w:line="276" w:lineRule="auto"/>
              <w:rPr>
                <w:rFonts w:hint="eastAsia"/>
              </w:rPr>
            </w:pPr>
            <w:r>
              <w:rPr>
                <w:rFonts w:ascii="Times New Roman" w:hAnsi="Times New Roman" w:eastAsia="宋体"/>
                <w:b/>
                <w:sz w:val="20"/>
              </w:rPr>
              <w:t>主要作用</w:t>
            </w:r>
          </w:p>
        </w:tc>
        <w:tc>
          <w:tcPr>
            <w:tcW w:w="402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158510B">
            <w:pPr>
              <w:keepNext/>
              <w:spacing w:after="40" w:line="276" w:lineRule="auto"/>
              <w:rPr>
                <w:rFonts w:hint="eastAsia"/>
              </w:rPr>
            </w:pPr>
            <w:r>
              <w:rPr>
                <w:rFonts w:ascii="Times New Roman" w:hAnsi="Times New Roman" w:eastAsia="宋体"/>
                <w:b/>
                <w:sz w:val="20"/>
              </w:rPr>
              <w:t>本项目进一步解决的问题</w:t>
            </w:r>
          </w:p>
        </w:tc>
      </w:tr>
      <w:tr w14:paraId="22BC2BB9">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B72550">
            <w:pPr>
              <w:keepNext/>
              <w:spacing w:after="40" w:line="276" w:lineRule="auto"/>
              <w:rPr>
                <w:rFonts w:hint="eastAsia"/>
              </w:rPr>
            </w:pPr>
            <w:r>
              <w:rPr>
                <w:rFonts w:ascii="Times New Roman" w:hAnsi="Times New Roman" w:eastAsia="宋体"/>
                <w:sz w:val="20"/>
              </w:rPr>
              <w:t>记账与预算工具</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1F3672">
            <w:pPr>
              <w:keepNext/>
              <w:spacing w:after="40" w:line="276" w:lineRule="auto"/>
              <w:rPr>
                <w:rFonts w:hint="eastAsia"/>
              </w:rPr>
            </w:pPr>
            <w:r>
              <w:rPr>
                <w:rFonts w:ascii="Times New Roman" w:hAnsi="Times New Roman" w:eastAsia="宋体"/>
                <w:sz w:val="20"/>
              </w:rPr>
              <w:t>整理流水、展示资金变化</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7878B9">
            <w:pPr>
              <w:keepNext/>
              <w:spacing w:after="40" w:line="276" w:lineRule="auto"/>
              <w:rPr>
                <w:rFonts w:hint="eastAsia"/>
              </w:rPr>
            </w:pPr>
            <w:r>
              <w:rPr>
                <w:rFonts w:ascii="Times New Roman" w:hAnsi="Times New Roman" w:eastAsia="宋体"/>
                <w:sz w:val="20"/>
              </w:rPr>
              <w:t>把统计结果转为可解释的取舍与实践任务</w:t>
            </w:r>
          </w:p>
        </w:tc>
      </w:tr>
      <w:tr w14:paraId="746CD9D0">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61BDE">
            <w:pPr>
              <w:keepNext/>
              <w:spacing w:after="40" w:line="276" w:lineRule="auto"/>
              <w:rPr>
                <w:rFonts w:hint="eastAsia"/>
              </w:rPr>
            </w:pPr>
            <w:r>
              <w:rPr>
                <w:rFonts w:ascii="Times New Roman" w:hAnsi="Times New Roman" w:eastAsia="宋体"/>
                <w:sz w:val="20"/>
              </w:rPr>
              <w:t>课程与科普资料</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1C7EE50">
            <w:pPr>
              <w:keepNext/>
              <w:spacing w:after="40" w:line="276" w:lineRule="auto"/>
              <w:rPr>
                <w:rFonts w:hint="eastAsia"/>
              </w:rPr>
            </w:pPr>
            <w:r>
              <w:rPr>
                <w:rFonts w:ascii="Times New Roman" w:hAnsi="Times New Roman" w:eastAsia="宋体"/>
                <w:sz w:val="20"/>
              </w:rPr>
              <w:t>系统介绍概念与案例</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E0E44A9">
            <w:pPr>
              <w:keepNext/>
              <w:spacing w:after="40" w:line="276" w:lineRule="auto"/>
              <w:rPr>
                <w:rFonts w:hint="eastAsia"/>
              </w:rPr>
            </w:pPr>
            <w:r>
              <w:rPr>
                <w:rFonts w:ascii="Times New Roman" w:hAnsi="Times New Roman" w:eastAsia="宋体"/>
                <w:sz w:val="20"/>
              </w:rPr>
              <w:t>将概念关联个人收支，并提供连续练习</w:t>
            </w:r>
          </w:p>
        </w:tc>
      </w:tr>
      <w:tr w14:paraId="3F6A750B">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ECF946">
            <w:pPr>
              <w:keepNext/>
              <w:spacing w:after="40" w:line="276" w:lineRule="auto"/>
              <w:rPr>
                <w:rFonts w:hint="eastAsia"/>
              </w:rPr>
            </w:pPr>
            <w:r>
              <w:rPr>
                <w:rFonts w:ascii="Times New Roman" w:hAnsi="Times New Roman" w:eastAsia="宋体"/>
                <w:sz w:val="20"/>
              </w:rPr>
              <w:t>通用对话助手</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423BDE2">
            <w:pPr>
              <w:keepNext/>
              <w:spacing w:after="40" w:line="276" w:lineRule="auto"/>
              <w:rPr>
                <w:rFonts w:hint="eastAsia"/>
              </w:rPr>
            </w:pPr>
            <w:r>
              <w:rPr>
                <w:rFonts w:ascii="Times New Roman" w:hAnsi="Times New Roman" w:eastAsia="宋体"/>
                <w:sz w:val="20"/>
              </w:rPr>
              <w:t>灵活回答问题、组织语言</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385D91">
            <w:pPr>
              <w:keepNext/>
              <w:spacing w:after="40" w:line="276" w:lineRule="auto"/>
              <w:rPr>
                <w:rFonts w:hint="eastAsia"/>
              </w:rPr>
            </w:pPr>
            <w:r>
              <w:rPr>
                <w:rFonts w:ascii="Times New Roman" w:hAnsi="Times New Roman" w:eastAsia="宋体"/>
                <w:sz w:val="20"/>
              </w:rPr>
              <w:t>增加经审核知识、确定性计算和来源核验</w:t>
            </w:r>
          </w:p>
        </w:tc>
      </w:tr>
      <w:tr w14:paraId="2595CD33">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18FA04">
            <w:pPr>
              <w:spacing w:after="40" w:line="276" w:lineRule="auto"/>
              <w:rPr>
                <w:rFonts w:hint="eastAsia"/>
              </w:rPr>
            </w:pPr>
            <w:r>
              <w:rPr>
                <w:rFonts w:ascii="Times New Roman" w:hAnsi="Times New Roman" w:eastAsia="宋体"/>
                <w:sz w:val="20"/>
              </w:rPr>
              <w:t>青盈智能实践平台</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C4F2F">
            <w:pPr>
              <w:spacing w:after="40" w:line="276" w:lineRule="auto"/>
              <w:rPr>
                <w:rFonts w:hint="eastAsia"/>
              </w:rPr>
            </w:pPr>
            <w:r>
              <w:rPr>
                <w:rFonts w:ascii="Times New Roman" w:hAnsi="Times New Roman" w:eastAsia="宋体"/>
                <w:sz w:val="20"/>
              </w:rPr>
              <w:t>个人情境中的计算、解释与持续学习</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68EEB">
            <w:pPr>
              <w:spacing w:after="40" w:line="276" w:lineRule="auto"/>
              <w:rPr>
                <w:rFonts w:hint="eastAsia"/>
              </w:rPr>
            </w:pPr>
            <w:r>
              <w:rPr>
                <w:rFonts w:ascii="Times New Roman" w:hAnsi="Times New Roman" w:eastAsia="宋体"/>
                <w:sz w:val="20"/>
              </w:rPr>
              <w:t>分别验证算法表现、运行可靠性与学习迁移</w:t>
            </w:r>
          </w:p>
        </w:tc>
      </w:tr>
    </w:tbl>
    <w:p w14:paraId="7EEDF2DE">
      <w:pPr>
        <w:ind w:firstLine="420"/>
        <w:rPr>
          <w:rFonts w:hint="eastAsia"/>
        </w:rPr>
      </w:pPr>
    </w:p>
    <w:p w14:paraId="098B2A9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项目设定三项可检验目标：一是财务结果在相同数据与基准时点下可复现；二是 AI 回答能够找到适用知识，并正确引用个人计算事实；三是学生在新情境中能够更独立地安排预算、比较用途并识别风险。前两项通过工程与算法评价检验，第三项通过校园对照研究检验。</w:t>
      </w:r>
    </w:p>
    <w:p w14:paraId="6124B6BF">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5D4BBCF9">
      <w:pPr>
        <w:pStyle w:val="2"/>
        <w:spacing w:line="360" w:lineRule="auto"/>
        <w:rPr>
          <w:rFonts w:hint="default" w:ascii="Times New Roman" w:hAnsi="Times New Roman" w:cs="Times New Roman"/>
        </w:rPr>
      </w:pPr>
      <w:bookmarkStart w:id="259" w:name="_Toc242962104"/>
      <w:r>
        <w:rPr>
          <w:rFonts w:hint="default" w:ascii="Times New Roman" w:hAnsi="Times New Roman" w:cs="Times New Roman"/>
        </w:rPr>
        <w:t>概要设计</w:t>
      </w:r>
      <w:bookmarkEnd w:id="259"/>
    </w:p>
    <w:p w14:paraId="23376067">
      <w:pPr>
        <w:pStyle w:val="3"/>
        <w:bidi w:val="0"/>
        <w:rPr>
          <w:rFonts w:hint="default"/>
          <w:lang w:val="en-US" w:eastAsia="zh-CN"/>
        </w:rPr>
      </w:pPr>
      <w:bookmarkStart w:id="260" w:name="_Toc242962105"/>
      <w:r>
        <w:rPr>
          <w:rFonts w:hint="default"/>
          <w:lang w:val="en-US" w:eastAsia="zh-CN"/>
        </w:rPr>
        <w:t>2.1 系统架构设计</w:t>
      </w:r>
      <w:bookmarkEnd w:id="260"/>
    </w:p>
    <w:p w14:paraId="4640CCA6">
      <w:pPr>
        <w:pStyle w:val="4"/>
        <w:bidi w:val="0"/>
        <w:rPr>
          <w:rFonts w:hint="default"/>
        </w:rPr>
      </w:pPr>
      <w:bookmarkStart w:id="261" w:name="_Toc242962106"/>
      <w:r>
        <w:rPr>
          <w:rFonts w:hint="eastAsia"/>
          <w:lang w:val="en-US" w:eastAsia="zh-CN"/>
        </w:rPr>
        <w:t>2.1.1</w:t>
      </w:r>
      <w:r>
        <w:rPr>
          <w:rFonts w:hint="default"/>
        </w:rPr>
        <w:t>总体架构与数据流</w:t>
      </w:r>
      <w:bookmarkEnd w:id="261"/>
    </w:p>
    <w:p w14:paraId="06B16EB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青盈面向大学生及初入职场青年，通过财务管理、实践学习与个性化内容服务金融素养培养。系统采用前后端分离的分层架构，前端基于 React 提供“今天、账本、学习、我的”等入口，后端基于 Flask 组织业务服务。用户请求经身份认证和账户权限校验后传递给相应模块，再以统一接口返回计算结果、学习内容与推荐依据。</w:t>
      </w:r>
    </w:p>
    <w:p w14:paraId="36891CC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用户录入的收支、目标和反馈构成系统的数据基础。财务计算引擎负责量化资金变化，AI 教练负责知识解释与思考引导，个性化推荐服务负责选择适合用户的播客内容。业务数据按部署配置存储，资金账目、推荐快照与交互事件采用 SQLite 持久化，以便追溯分析时点和结果来源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,如图2.1所示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3664BEA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系统围绕两条路径运行：真实收支 → 计算与解释 → 实践学习；用户特征与反馈 → 个性化推荐 → 持续学习。 前一条路径把学科概念转化为个人可理解的事实与任务，后一条路径依据历史和当前需求安排持续内容。学习反馈再进入后续练习与推荐，形成可追踪的使用过程。</w:t>
      </w:r>
    </w:p>
    <w:p w14:paraId="3179942B">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235960"/>
            <wp:effectExtent l="0" t="0" r="635" b="254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pic:blipFill>
                  <pic:spPr>
                    <a:xfrm>
                      <a:off x="0" y="0"/>
                      <a:ext cx="5276215" cy="3235960"/>
                    </a:xfrm>
                    <a:prstGeom prst="rect">
                      <a:avLst/>
                    </a:prstGeom>
                  </pic:spPr>
                </pic:pic>
              </a:graphicData>
            </a:graphic>
          </wp:inline>
        </w:drawing>
      </w:r>
    </w:p>
    <w:p w14:paraId="25153EBA">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图2.1 系统总体架构图</w:t>
      </w:r>
    </w:p>
    <w:p w14:paraId="63E4081D">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262" w:name="_Toc242962107"/>
      <w:r>
        <w:rPr>
          <w:rFonts w:hint="default"/>
          <w:lang w:val="en-US" w:eastAsia="zh-CN"/>
        </w:rPr>
        <w:t>2.1.2 财务计算与 AI 教练架构</w:t>
      </w:r>
      <w:bookmarkEnd w:id="262"/>
    </w:p>
    <w:p w14:paraId="453656D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系统将财务计算与语言生成分开处理。机会成本、结余和目标规划由确定性程序完成，并保留输入、计算依据及适用条件；AI 教练结合这些结果解释财务概念，帮助用户理解资金安排与个人目标之间的关系。个人记录只在用户允许引用后参与本次分析。</w:t>
      </w:r>
    </w:p>
    <w:p w14:paraId="063B01B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升级后的 AI 教练采用“上下文理解—混合知识检索—财务工具调用—生成解释—回复校验”的流程。检索环节结合 BM25 关键词召回和语义向量召回，通过 RRF 融合及 Cross-Encoder 精排选取相关资料。生成环节结合用户问题、资料片段与程序事实形成回答，再检查数值引用、财务口径和依据，提供可展开的计算说明与知识来源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，如图2.2所示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EFCDCCF">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376930"/>
            <wp:effectExtent l="0" t="0" r="635" b="4445"/>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pic:blipFill>
                  <pic:spPr>
                    <a:xfrm>
                      <a:off x="0" y="0"/>
                      <a:ext cx="5276215" cy="3376930"/>
                    </a:xfrm>
                    <a:prstGeom prst="rect">
                      <a:avLst/>
                    </a:prstGeom>
                  </pic:spPr>
                </pic:pic>
              </a:graphicData>
            </a:graphic>
          </wp:inline>
        </w:drawing>
      </w:r>
    </w:p>
    <w:p w14:paraId="3AA55737">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图2.2 财务计算与AI教练协同流程图</w:t>
      </w:r>
    </w:p>
    <w:p w14:paraId="33EBB2B3">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263" w:name="_Toc242962108"/>
      <w:r>
        <w:rPr>
          <w:rFonts w:hint="default"/>
          <w:lang w:val="en-US" w:eastAsia="zh-CN"/>
        </w:rPr>
        <w:t>2.1.3 基于 HSTU 的个性化推荐架构</w:t>
      </w:r>
      <w:bookmarkEnd w:id="263"/>
    </w:p>
    <w:p w14:paraId="362B9A0C">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每日播客采用“候选筛选—个性化排序—当日结果保存—反馈更新”的分阶段设计。系统依据用户学习主题、财务快照和历史交互，先从审核目录中过滤质量不合格、难度不适配、近期已推荐及用户不感兴趣的单集，形成候选集合。</w:t>
      </w:r>
    </w:p>
    <w:p w14:paraId="526BE54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精排通过接口对接独立部署的 HSTU 服务，提交财务特征、缺失标记、历史事件和候选内容，获取排序分数与模型版本。系统同时保留本地加权排序作为对照基线和异常回退机制，保证服务不可用时仍有可用的推荐路径。当日推荐固定保存，近 30 日推荐过的单集排除；用户反馈用于之后的内容选择。</w:t>
      </w:r>
      <w:r>
        <w:rPr>
          <w:rFonts w:ascii="Times New Roman" w:hAnsi="Times New Roman"/>
          <w:sz w:val="18"/>
          <w:vertAlign w:val="superscript"/>
        </w:rPr>
        <w:t>[11]</w:t>
      </w:r>
    </w:p>
    <w:p w14:paraId="474A0D2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目前 HSTU 接入接口与模拟验证已完成，真实模型联调和推荐效果评价仍需进一步开展</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，如图2.3所示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3302F26">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517265"/>
            <wp:effectExtent l="0" t="0" r="635" b="698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pic:blipFill>
                  <pic:spPr>
                    <a:xfrm>
                      <a:off x="0" y="0"/>
                      <a:ext cx="5276215" cy="3517265"/>
                    </a:xfrm>
                    <a:prstGeom prst="rect">
                      <a:avLst/>
                    </a:prstGeom>
                  </pic:spPr>
                </pic:pic>
              </a:graphicData>
            </a:graphic>
          </wp:inline>
        </w:drawing>
      </w:r>
    </w:p>
    <w:p w14:paraId="20254E90">
      <w:pPr>
        <w:numPr>
          <w:ilvl w:val="0"/>
          <w:numId w:val="0"/>
        </w:numPr>
        <w:spacing w:line="360" w:lineRule="auto"/>
        <w:jc w:val="cente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图2.3 每日播客个性化推荐流程</w:t>
      </w:r>
    </w:p>
    <w:p w14:paraId="16F76184">
      <w:pPr>
        <w:pStyle w:val="3"/>
        <w:bidi w:val="0"/>
        <w:rPr>
          <w:rFonts w:hint="default" w:ascii="Times New Roman" w:hAnsi="Times New Roman" w:cs="Times New Roman"/>
          <w:lang w:val="en-US" w:eastAsia="zh-CN"/>
        </w:rPr>
      </w:pPr>
      <w:bookmarkStart w:id="264" w:name="_Toc242962109"/>
      <w:r>
        <w:rPr>
          <w:rFonts w:hint="default"/>
          <w:lang w:val="en-US" w:eastAsia="zh-CN"/>
        </w:rPr>
        <w:t>2.2 功能模块划分</w:t>
      </w:r>
      <w:bookmarkEnd w:id="264"/>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系统按用户任务划分为财务管理与决策辅助、金融素养学习与 AI 教练、每日播客个性化推荐三大核心模块，账户资料与运营后台提供公共支撑。各模块的界面、处理流程及关键技术在第三章按相同结构展开，如图2.4所示。</w:t>
      </w:r>
    </w:p>
    <w:p xmlns:mo="http://schemas.microsoft.com/office/mac/office/2008/main" xmlns:mv="urn:schemas-microsoft-com:mac:vml">
      <w:r>
        <w:drawing>
          <wp:inline xmlns:a="http://schemas.openxmlformats.org/drawingml/2006/main" xmlns:pic="http://schemas.openxmlformats.org/drawingml/2006/picture">
            <wp:extent cx="5220000" cy="3016000"/>
            <wp:docPr id="10001" name="青盈功能模块图"/>
            <wp:cNvGraphicFramePr>
              <a:graphicFrameLocks noChangeAspect="1"/>
            </wp:cNvGraphicFramePr>
            <a:graphic>
              <a:graphicData uri="http://schemas.openxmlformats.org/drawingml/2006/picture">
                <pic:pic>
                  <pic:nvPicPr>
                    <pic:cNvPr id="0" name="功能模块图.png"/>
                    <pic:cNvPicPr/>
                  </pic:nvPicPr>
                  <pic:blipFill>
                    <a:blip r:embed="rIdYGModules"/>
                    <a:stretch>
                      <a:fillRect/>
                    </a:stretch>
                  </pic:blipFill>
                  <pic:spPr>
                    <a:xfrm>
                      <a:off x="0" y="0"/>
                      <a:ext cx="5220000" cy="3016000"/>
                    </a:xfrm>
                    <a:prstGeom prst="rect"/>
                  </pic:spPr>
                </pic:pic>
              </a:graphicData>
            </a:graphic>
          </wp:inline>
        </w:drawing>
      </w:r>
      <w:pPr>
        <w:jc w:val="center"/>
        <w:keepNext/>
      </w:pPr>
    </w:p>
    <w:p>
      <w:p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 xml:space="preserve">图2.4 功能模块划分图</w:t>
      </w:r>
    </w:p>
    <w:p w14:paraId="3D971B71">
      <w:pPr>
        <w:pStyle w:val="4"/>
        <w:bidi w:val="0"/>
        <w:rPr>
          <w:rFonts w:hint="default" w:ascii="Times New Roman" w:hAnsi="Times New Roman" w:eastAsia="宋体" w:cs="Times New Roman"/>
          <w:b w:val="0"/>
          <w:i w:val="0"/>
          <w:iCs w:val="0"/>
          <w:caps w:val="0"/>
          <w:color w:val="1C1F23"/>
          <w:spacing w:val="0"/>
          <w:kern w:val="2"/>
          <w:szCs w:val="21"/>
          <w:shd w:val="clear" w:fill="FFFFFF"/>
          <w:lang w:val="en-US" w:eastAsia="zh-CN" w:bidi="ar-SA"/>
        </w:rPr>
      </w:pPr>
      <w:bookmarkStart w:id="265" w:name="_Toc242962110"/>
      <w:r>
        <w:rPr>
          <w:rFonts w:hint="default"/>
          <w:lang w:val="en-US" w:eastAsia="zh-CN"/>
        </w:rPr>
        <w:t>2.2.1 财务管理与决策辅助</w:t>
      </w:r>
      <w:bookmarkEnd w:id="265"/>
    </w:p>
    <w:p w14:paraId="1326EB2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整合手动记账、语音录入与账单导入，帮助用户整理收入、支出、退款和消费分类，并通过收支摘要与图表了解资金去向。在此基础上，系统提供储蓄目标、未来开支和资金安排功能，使用户能够将日常预算与阶段性目标联系起来。</w:t>
      </w:r>
    </w:p>
    <w:p w14:paraId="66614A2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消费前，系统依据用户收支与明确假设计算机会成本，将消费金额换算为等价结余天数，并分析其对目标资金安排的影响；消费后，通过回访和每周复盘记录需求是否得到满足、预算是否发生变化。上述功能为用户理解预算、取舍和长期规划提供实践场景。</w:t>
      </w:r>
    </w:p>
    <w:p w14:paraId="6F56DD8D">
      <w:pPr>
        <w:pStyle w:val="4"/>
        <w:bidi w:val="0"/>
        <w:rPr>
          <w:rFonts w:hint="default"/>
          <w:lang w:val="en-US" w:eastAsia="zh-CN"/>
        </w:rPr>
      </w:pPr>
      <w:bookmarkStart w:id="266" w:name="_Toc242962111"/>
      <w:r>
        <w:rPr>
          <w:rFonts w:hint="default"/>
          <w:lang w:val="en-US" w:eastAsia="zh-CN"/>
        </w:rPr>
        <w:t>2.2.2 金融素养学习与 AI 教练</w:t>
      </w:r>
      <w:bookmarkEnd w:id="266"/>
    </w:p>
    <w:p w14:paraId="537B9F0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围绕“安排收支、理解取舍、留有余地、理解风险”组织知识资料和多步情境练习，并结合用户选择的学习主题、实际财务情境与答题记录安排练习和复习。学生通过解释判断理由、回看反馈和尝试不同情境，逐步建立金融概念与日常经验之间的联系。</w:t>
      </w:r>
    </w:p>
    <w:p w14:paraId="11BF97E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提供金融知识问答、个人财务试算、方案比较和连续追问。对于知识问题，教练直接解释概念、条件和例子；对于财务问题，结合程序结果说明资金约束；用户需要学习推理过程时，再提供适量提示与针对性反馈。学习目标覆盖知识理解、规划意识与独立运用能力，培养效果需通过后续实证研究评价。</w:t>
      </w:r>
    </w:p>
    <w:p w14:paraId="2FEEAB81">
      <w:pPr>
        <w:pStyle w:val="4"/>
        <w:bidi w:val="0"/>
        <w:rPr>
          <w:rFonts w:hint="default"/>
          <w:lang w:val="en-US" w:eastAsia="zh-CN"/>
        </w:rPr>
      </w:pPr>
      <w:bookmarkStart w:id="267" w:name="_Toc242962112"/>
      <w:r>
        <w:rPr>
          <w:rFonts w:hint="default"/>
          <w:lang w:val="en-US" w:eastAsia="zh-CN"/>
        </w:rPr>
        <w:t>2.2.3 每日播客个性化推荐</w:t>
      </w:r>
      <w:bookmarkEnd w:id="267"/>
    </w:p>
    <w:p w14:paraId="30B916F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在“今天”页面提供每天至多一期的个性化播客推荐，将经过审核的金融知识内容与用户当前的学习主题和资金安排需求相联系。推荐卡片展示具体单集、收听入口和推荐依据，方便用户利用碎片时间接触相关知识。</w:t>
      </w:r>
    </w:p>
    <w:p w14:paraId="36C55B9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可提交收藏、不感兴趣或“对我有帮助”等反馈，系统保存对应事件并影响后续内容选择。推荐采用候选规则与个性化排序协同的方式，减少重复内容；无合适候选时明确显示空状态。该模块为金融素养培养提供持续的内容入口，收听或点击记录作为使用反馈，不直接等同于学习成效。</w:t>
      </w:r>
    </w:p>
    <w:p w14:paraId="5F961356">
      <w:pPr>
        <w:pStyle w:val="2"/>
        <w:spacing w:line="360" w:lineRule="auto"/>
        <w:rPr>
          <w:rFonts w:hint="default" w:ascii="Times New Roman" w:hAnsi="Times New Roman" w:cs="Times New Roman"/>
        </w:rPr>
        <w:keepNext/>
      </w:pPr>
      <w:bookmarkStart w:id="268" w:name="_Toc242962113"/>
      <w:r>
        <w:rPr>
          <w:rFonts w:hint="default" w:ascii="Times New Roman" w:hAnsi="Times New Roman" w:cs="Times New Roman"/>
        </w:rPr>
        <w:t>详细设计</w:t>
      </w:r>
      <w:bookmarkEnd w:id="268"/>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本章按照第二章功能模块图展开：先说明财务管理与决策辅助，再介绍金融素养学习与 AI 教练、每日播客个性化推荐，最后说明账户与后台支撑并归纳创新点。各模块依次呈现用户功能、界面实现与关键技术。</w:t>
      </w:r>
    </w:p>
    <w:p w14:paraId="12F0B8F5">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由前端页面、接口服务、决策引擎、数据存取服务和大模型解释服务组成。核心算法与界面、存储及模型调用分离，便于单独复核。正文只说明这些模块的职责，关键实现文件入口放在附录，不展开完整源码目录。</w:t>
      </w:r>
    </w:p>
    <w:p>
      <w:pPr>
        <w:pStyle w:val="3"/>
        <w:bidi w:val="0"/>
        <w:rPr>
          <w:rFonts w:hint="default"/>
          <w:lang w:val="en-US" w:eastAsia="zh-CN"/>
        </w:rPr>
        <w:keepNext/>
      </w:pPr>
      <w:bookmarkStart w:id="269" w:name="_Toc242962114"/>
      <w:r>
        <w:rPr>
          <w:rFonts w:hint="default"/>
          <w:lang w:val="en-US" w:eastAsia="zh-CN"/>
        </w:rPr>
        <w:t xml:space="preserve">3.1 财务管理与决策辅助模块</w:t>
      </w:r>
      <w:bookmarkEnd w:id="269"/>
    </w:p>
    <w:p w14:paraId="44ABEB01">
      <w:pPr>
        <w:numPr>
          <w:ilvl w:val="0"/>
          <w:numId w:val="0"/>
        </w:numPr>
        <w:spacing w:line="360" w:lineRule="auto"/>
        <w:ind w:firstLine="420" w:firstLineChars="200"/>
        <w:rPr>
          <w:rFonts w:hint="default"/>
          <w:lang w:val="en-US" w:eastAsia="zh-CN"/>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我们围绕学生最常用的几个动作组织界面：记录、看清预算、试算一笔消费和回访。界面设计需要让用户理解数字来源，而不是用复杂图表或评价性话术替用户作决定。</w:t>
      </w:r>
    </w:p>
    <w:p>
      <w:pPr>
        <w:pStyle w:val="4"/>
        <w:keepNext/>
      </w:pPr>
      <w:bookmarkStart w:id="270" w:name="_Toc242962115"/>
      <w:r>
        <w:t xml:space="preserve">3.1.1 收支记录与账单管理</w:t>
      </w:r>
      <w:bookmarkEnd w:id="270"/>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本模块以账本为主要入口，汇集收入、支出、分类与退款关联，为预算分析和消费试算提供一致的数据基础。用户可先查看收支总览，再通过手动记录、账单导入或语音录入补充真实账目。</w:t>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（1）收支总览与资金安排</w:t>
      </w:r>
    </w:p>
    <w:p w14:paraId="6B335E58">
      <w:pPr>
        <w:numPr>
          <w:ilvl w:val="0"/>
          <w:numId w:val="0"/>
        </w:numPr>
        <w:spacing w:before="100" w:after="20"/>
      </w:pPr>
      <w:r>
        <w:drawing>
          <wp:inline distT="0" distB="0" distL="114300" distR="114300">
            <wp:extent cx="5258435" cy="2430780"/>
            <wp:effectExtent l="0" t="0" r="8890" b="762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22"/>
                    <a:stretch>
                      <a:fillRect/>
                    </a:stretch>
                  </pic:blipFill>
                  <pic:spPr>
                    <a:xfrm>
                      <a:off x="0" y="0"/>
                      <a:ext cx="5258435" cy="2430780"/>
                    </a:xfrm>
                    <a:prstGeom prst="rect">
                      <a:avLst/>
                    </a:prstGeom>
                    <a:noFill/>
                    <a:ln>
                      <a:noFill/>
                    </a:ln>
                  </pic:spPr>
                </pic:pic>
              </a:graphicData>
            </a:graphic>
          </wp:inline>
        </w:drawing>
      </w:r>
    </w:p>
    <w:p w14:paraId="2AD77FB5">
      <w:pPr>
        <w:numPr>
          <w:ilvl w:val="0"/>
          <w:numId w:val="0"/>
        </w:numPr>
        <w:spacing w:before="100" w:after="20"/>
      </w:pPr>
      <w:r>
        <w:drawing>
          <wp:inline distT="0" distB="0" distL="114300" distR="114300">
            <wp:extent cx="5258435" cy="2430780"/>
            <wp:effectExtent l="0" t="0" r="8890" b="762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23"/>
                    <a:stretch>
                      <a:fillRect/>
                    </a:stretch>
                  </pic:blipFill>
                  <pic:spPr>
                    <a:xfrm>
                      <a:off x="0" y="0"/>
                      <a:ext cx="5258435" cy="2430780"/>
                    </a:xfrm>
                    <a:prstGeom prst="rect">
                      <a:avLst/>
                    </a:prstGeom>
                    <a:noFill/>
                    <a:ln>
                      <a:noFill/>
                    </a:ln>
                  </pic:spPr>
                </pic:pic>
              </a:graphicData>
            </a:graphic>
          </wp:inline>
        </w:drawing>
      </w:r>
      <w:bookmarkStart w:id="59" w:name="_GoBack"/>
      <w:bookmarkEnd w:id="59"/>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（2）手动记账与账单导入</w:t>
      </w:r>
    </w:p>
    <w:p w14:paraId="54C01767">
      <w:pPr>
        <w:numPr>
          <w:ilvl w:val="0"/>
          <w:numId w:val="0"/>
        </w:numPr>
        <w:spacing w:before="100" w:after="20"/>
      </w:pPr>
      <w:r>
        <w:drawing>
          <wp:inline distT="0" distB="0" distL="114300" distR="114300">
            <wp:extent cx="5258435" cy="2430780"/>
            <wp:effectExtent l="0" t="0" r="8890" b="762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5"/>
                    <a:stretch>
                      <a:fillRect/>
                    </a:stretch>
                  </pic:blipFill>
                  <pic:spPr>
                    <a:xfrm>
                      <a:off x="0" y="0"/>
                      <a:ext cx="5258435" cy="2430780"/>
                    </a:xfrm>
                    <a:prstGeom prst="rect">
                      <a:avLst/>
                    </a:prstGeom>
                    <a:noFill/>
                    <a:ln>
                      <a:noFill/>
                    </a:ln>
                  </pic:spPr>
                </pic:pic>
              </a:graphicData>
            </a:graphic>
          </wp:inline>
        </w:drawing>
      </w:r>
    </w:p>
    <w:p w14:paraId="5B9247D3">
      <w:pPr>
        <w:numPr>
          <w:ilvl w:val="0"/>
          <w:numId w:val="0"/>
        </w:numPr>
        <w:spacing w:before="100" w:after="20"/>
      </w:pPr>
      <w:r>
        <w:drawing>
          <wp:inline distT="0" distB="0" distL="114300" distR="114300">
            <wp:extent cx="5258435" cy="2430780"/>
            <wp:effectExtent l="0" t="0" r="8890" b="762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26"/>
                    <a:stretch>
                      <a:fillRect/>
                    </a:stretch>
                  </pic:blipFill>
                  <pic:spPr>
                    <a:xfrm>
                      <a:off x="0" y="0"/>
                      <a:ext cx="5258435" cy="2430780"/>
                    </a:xfrm>
                    <a:prstGeom prst="rect">
                      <a:avLst/>
                    </a:prstGeom>
                    <a:noFill/>
                    <a:ln>
                      <a:noFill/>
                    </a:ln>
                  </pic:spPr>
                </pic:pic>
              </a:graphicData>
            </a:graphic>
          </wp:inline>
        </w:drawing>
      </w:r>
    </w:p>
    <w:p w14:paraId="63D4B588">
      <w:pPr>
        <w:numPr>
          <w:ilvl w:val="0"/>
          <w:numId w:val="0"/>
        </w:numPr>
        <w:spacing w:before="100" w:after="20"/>
      </w:pPr>
      <w:r>
        <w:drawing>
          <wp:inline distT="0" distB="0" distL="114300" distR="114300">
            <wp:extent cx="5258435" cy="2430780"/>
            <wp:effectExtent l="0" t="0" r="8890" b="762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27"/>
                    <a:stretch>
                      <a:fillRect/>
                    </a:stretch>
                  </pic:blipFill>
                  <pic:spPr>
                    <a:xfrm>
                      <a:off x="0" y="0"/>
                      <a:ext cx="5258435" cy="2430780"/>
                    </a:xfrm>
                    <a:prstGeom prst="rect">
                      <a:avLst/>
                    </a:prstGeom>
                    <a:noFill/>
                    <a:ln>
                      <a:noFill/>
                    </a:ln>
                  </pic:spPr>
                </pic:pic>
              </a:graphicData>
            </a:graphic>
          </wp:inline>
        </w:drawing>
      </w:r>
    </w:p>
    <w:p w14:paraId="290B3EEA">
      <w:pPr>
        <w:numPr>
          <w:ilvl w:val="0"/>
          <w:numId w:val="0"/>
        </w:numPr>
        <w:spacing w:before="100" w:after="20"/>
      </w:pPr>
      <w:r>
        <w:drawing>
          <wp:inline distT="0" distB="0" distL="114300" distR="114300">
            <wp:extent cx="5258435" cy="2430780"/>
            <wp:effectExtent l="0" t="0" r="8890" b="762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28"/>
                    <a:stretch>
                      <a:fillRect/>
                    </a:stretch>
                  </pic:blipFill>
                  <pic:spPr>
                    <a:xfrm>
                      <a:off x="0" y="0"/>
                      <a:ext cx="5258435" cy="2430780"/>
                    </a:xfrm>
                    <a:prstGeom prst="rect">
                      <a:avLst/>
                    </a:prstGeom>
                    <a:noFill/>
                    <a:ln>
                      <a:noFill/>
                    </a:ln>
                  </pic:spPr>
                </pic:pic>
              </a:graphicData>
            </a:graphic>
          </wp:inline>
        </w:drawing>
      </w:r>
    </w:p>
    <w:p w14:paraId="357E2DA5">
      <w:pPr>
        <w:numPr>
          <w:ilvl w:val="0"/>
          <w:numId w:val="0"/>
        </w:numPr>
        <w:spacing w:before="100" w:after="20"/>
      </w:pPr>
      <w:r>
        <w:drawing>
          <wp:inline distT="0" distB="0" distL="114300" distR="114300">
            <wp:extent cx="5258435" cy="2430780"/>
            <wp:effectExtent l="0" t="0" r="8890" b="762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29"/>
                    <a:stretch>
                      <a:fillRect/>
                    </a:stretch>
                  </pic:blipFill>
                  <pic:spPr>
                    <a:xfrm>
                      <a:off x="0" y="0"/>
                      <a:ext cx="5258435" cy="2430780"/>
                    </a:xfrm>
                    <a:prstGeom prst="rect">
                      <a:avLst/>
                    </a:prstGeom>
                    <a:noFill/>
                    <a:ln>
                      <a:noFill/>
                    </a:ln>
                  </pic:spPr>
                </pic:pic>
              </a:graphicData>
            </a:graphic>
          </wp:inline>
        </w:drawing>
      </w:r>
    </w:p>
    <w:p w14:paraId="0488955D">
      <w:pPr>
        <w:numPr>
          <w:ilvl w:val="0"/>
          <w:numId w:val="0"/>
        </w:numPr>
        <w:spacing w:before="100" w:after="20"/>
      </w:pPr>
      <w:r>
        <w:drawing>
          <wp:inline distT="0" distB="0" distL="114300" distR="114300">
            <wp:extent cx="5258435" cy="2430780"/>
            <wp:effectExtent l="0" t="0" r="8890" b="762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30"/>
                    <a:stretch>
                      <a:fillRect/>
                    </a:stretch>
                  </pic:blipFill>
                  <pic:spPr>
                    <a:xfrm>
                      <a:off x="0" y="0"/>
                      <a:ext cx="5258435" cy="2430780"/>
                    </a:xfrm>
                    <a:prstGeom prst="rect">
                      <a:avLst/>
                    </a:prstGeom>
                    <a:noFill/>
                    <a:ln>
                      <a:noFill/>
                    </a:ln>
                  </pic:spPr>
                </pic:pic>
              </a:graphicData>
            </a:graphic>
          </wp:inline>
        </w:drawing>
      </w:r>
    </w:p>
    <w:p w14:paraId="3B1ED794">
      <w:pPr>
        <w:numPr>
          <w:ilvl w:val="0"/>
          <w:numId w:val="0"/>
        </w:numPr>
        <w:spacing w:before="100" w:after="20"/>
      </w:pPr>
      <w:r>
        <w:drawing>
          <wp:inline distT="0" distB="0" distL="114300" distR="114300">
            <wp:extent cx="5258435" cy="2430780"/>
            <wp:effectExtent l="0" t="0" r="8890" b="7620"/>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31"/>
                    <a:stretch>
                      <a:fillRect/>
                    </a:stretch>
                  </pic:blipFill>
                  <pic:spPr>
                    <a:xfrm>
                      <a:off x="0" y="0"/>
                      <a:ext cx="5258435" cy="2430780"/>
                    </a:xfrm>
                    <a:prstGeom prst="rect">
                      <a:avLst/>
                    </a:prstGeom>
                    <a:noFill/>
                    <a:ln>
                      <a:noFill/>
                    </a:ln>
                  </pic:spPr>
                </pic:pic>
              </a:graphicData>
            </a:graphic>
          </wp:inline>
        </w:drawing>
      </w:r>
    </w:p>
    <w:p w14:paraId="079E2579">
      <w:pPr>
        <w:numPr>
          <w:ilvl w:val="0"/>
          <w:numId w:val="0"/>
        </w:numPr>
        <w:spacing w:before="100" w:after="20"/>
      </w:pPr>
      <w:r>
        <w:drawing>
          <wp:inline distT="0" distB="0" distL="114300" distR="114300">
            <wp:extent cx="5258435" cy="2430780"/>
            <wp:effectExtent l="0" t="0" r="8890" b="762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32"/>
                    <a:stretch>
                      <a:fillRect/>
                    </a:stretch>
                  </pic:blipFill>
                  <pic:spPr>
                    <a:xfrm>
                      <a:off x="0" y="0"/>
                      <a:ext cx="5258435" cy="2430780"/>
                    </a:xfrm>
                    <a:prstGeom prst="rect">
                      <a:avLst/>
                    </a:prstGeom>
                    <a:noFill/>
                    <a:ln>
                      <a:noFill/>
                    </a:ln>
                  </pic:spPr>
                </pic:pic>
              </a:graphicData>
            </a:graphic>
          </wp:inline>
        </w:drawing>
      </w:r>
    </w:p>
    <w:p w14:paraId="53E52DB9">
      <w:pPr>
        <w:numPr>
          <w:ilvl w:val="0"/>
          <w:numId w:val="0"/>
        </w:numPr>
        <w:spacing w:before="100" w:after="20"/>
      </w:pPr>
      <w:r>
        <w:drawing>
          <wp:inline distT="0" distB="0" distL="114300" distR="114300">
            <wp:extent cx="5258435" cy="2430780"/>
            <wp:effectExtent l="0" t="0" r="8890" b="762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33"/>
                    <a:stretch>
                      <a:fillRect/>
                    </a:stretch>
                  </pic:blipFill>
                  <pic:spPr>
                    <a:xfrm>
                      <a:off x="0" y="0"/>
                      <a:ext cx="5258435" cy="2430780"/>
                    </a:xfrm>
                    <a:prstGeom prst="rect">
                      <a:avLst/>
                    </a:prstGeom>
                    <a:noFill/>
                    <a:ln>
                      <a:noFill/>
                    </a:ln>
                  </pic:spPr>
                </pic:pic>
              </a:graphicData>
            </a:graphic>
          </wp:inline>
        </w:drawing>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（3）语音录入与消费统计</w:t>
      </w:r>
    </w:p>
    <w:p w14:paraId="621BB36B">
      <w:pPr>
        <w:numPr>
          <w:ilvl w:val="0"/>
          <w:numId w:val="0"/>
        </w:numPr>
        <w:spacing w:before="100" w:after="20"/>
      </w:pPr>
      <w:r>
        <w:drawing>
          <wp:inline distT="0" distB="0" distL="114300" distR="114300">
            <wp:extent cx="5258435" cy="2430780"/>
            <wp:effectExtent l="0" t="0" r="8890" b="762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34"/>
                    <a:stretch>
                      <a:fillRect/>
                    </a:stretch>
                  </pic:blipFill>
                  <pic:spPr>
                    <a:xfrm>
                      <a:off x="0" y="0"/>
                      <a:ext cx="5258435" cy="2430780"/>
                    </a:xfrm>
                    <a:prstGeom prst="rect">
                      <a:avLst/>
                    </a:prstGeom>
                    <a:noFill/>
                    <a:ln>
                      <a:noFill/>
                    </a:ln>
                  </pic:spPr>
                </pic:pic>
              </a:graphicData>
            </a:graphic>
          </wp:inline>
        </w:drawing>
      </w:r>
    </w:p>
    <w:p w14:paraId="49E2D902">
      <w:pPr>
        <w:numPr>
          <w:ilvl w:val="0"/>
          <w:numId w:val="0"/>
        </w:numPr>
        <w:spacing w:before="100" w:after="20"/>
      </w:pPr>
      <w:r>
        <w:drawing>
          <wp:inline distT="0" distB="0" distL="114300" distR="114300">
            <wp:extent cx="5258435" cy="2430780"/>
            <wp:effectExtent l="0" t="0" r="8890" b="762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35"/>
                    <a:stretch>
                      <a:fillRect/>
                    </a:stretch>
                  </pic:blipFill>
                  <pic:spPr>
                    <a:xfrm>
                      <a:off x="0" y="0"/>
                      <a:ext cx="5258435" cy="2430780"/>
                    </a:xfrm>
                    <a:prstGeom prst="rect">
                      <a:avLst/>
                    </a:prstGeom>
                    <a:noFill/>
                    <a:ln>
                      <a:noFill/>
                    </a:ln>
                  </pic:spPr>
                </pic:pic>
              </a:graphicData>
            </a:graphic>
          </wp:inline>
        </w:drawing>
      </w:r>
    </w:p>
    <w:p w14:paraId="677E2041">
      <w:pPr>
        <w:numPr>
          <w:ilvl w:val="0"/>
          <w:numId w:val="0"/>
        </w:numPr>
        <w:spacing w:before="100" w:after="20"/>
      </w:pPr>
      <w:r>
        <w:drawing>
          <wp:inline distT="0" distB="0" distL="114300" distR="114300">
            <wp:extent cx="5258435" cy="2430780"/>
            <wp:effectExtent l="0" t="0" r="8890" b="762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36"/>
                    <a:stretch>
                      <a:fillRect/>
                    </a:stretch>
                  </pic:blipFill>
                  <pic:spPr>
                    <a:xfrm>
                      <a:off x="0" y="0"/>
                      <a:ext cx="5258435" cy="2430780"/>
                    </a:xfrm>
                    <a:prstGeom prst="rect">
                      <a:avLst/>
                    </a:prstGeom>
                    <a:noFill/>
                    <a:ln>
                      <a:noFill/>
                    </a:ln>
                  </pic:spPr>
                </pic:pic>
              </a:graphicData>
            </a:graphic>
          </wp:inline>
        </w:drawing>
      </w:r>
    </w:p>
    <w:p w14:paraId="3F580549">
      <w:pPr>
        <w:numPr>
          <w:ilvl w:val="0"/>
          <w:numId w:val="0"/>
        </w:numPr>
        <w:spacing w:before="100" w:after="20"/>
      </w:pPr>
      <w:r>
        <w:drawing>
          <wp:inline distT="0" distB="0" distL="114300" distR="114300">
            <wp:extent cx="5258435" cy="2430780"/>
            <wp:effectExtent l="0" t="0" r="8890" b="762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37"/>
                    <a:stretch>
                      <a:fillRect/>
                    </a:stretch>
                  </pic:blipFill>
                  <pic:spPr>
                    <a:xfrm>
                      <a:off x="0" y="0"/>
                      <a:ext cx="5258435" cy="2430780"/>
                    </a:xfrm>
                    <a:prstGeom prst="rect">
                      <a:avLst/>
                    </a:prstGeom>
                    <a:noFill/>
                    <a:ln>
                      <a:noFill/>
                    </a:ln>
                  </pic:spPr>
                </pic:pic>
              </a:graphicData>
            </a:graphic>
          </wp:inline>
        </w:drawing>
      </w:r>
    </w:p>
    <w:p w14:paraId="3B0A6245">
      <w:pPr>
        <w:numPr>
          <w:ilvl w:val="0"/>
          <w:numId w:val="0"/>
        </w:numPr>
        <w:spacing w:before="100" w:after="20"/>
      </w:pPr>
      <w:r>
        <w:drawing>
          <wp:inline distT="0" distB="0" distL="114300" distR="114300">
            <wp:extent cx="5258435" cy="2430780"/>
            <wp:effectExtent l="0" t="0" r="8890" b="762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38"/>
                    <a:stretch>
                      <a:fillRect/>
                    </a:stretch>
                  </pic:blipFill>
                  <pic:spPr>
                    <a:xfrm>
                      <a:off x="0" y="0"/>
                      <a:ext cx="5258435" cy="2430780"/>
                    </a:xfrm>
                    <a:prstGeom prst="rect">
                      <a:avLst/>
                    </a:prstGeom>
                    <a:noFill/>
                    <a:ln>
                      <a:noFill/>
                    </a:ln>
                  </pic:spPr>
                </pic:pic>
              </a:graphicData>
            </a:graphic>
          </wp:inline>
        </w:drawing>
      </w:r>
    </w:p>
    <w:p w14:paraId="5ED5CAF0">
      <w:pPr>
        <w:numPr>
          <w:ilvl w:val="0"/>
          <w:numId w:val="0"/>
        </w:numPr>
        <w:spacing w:before="100" w:after="20"/>
      </w:pPr>
      <w:r>
        <w:drawing>
          <wp:inline distT="0" distB="0" distL="114300" distR="114300">
            <wp:extent cx="5258435" cy="2430780"/>
            <wp:effectExtent l="0" t="0" r="8890" b="762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39"/>
                    <a:stretch>
                      <a:fillRect/>
                    </a:stretch>
                  </pic:blipFill>
                  <pic:spPr>
                    <a:xfrm>
                      <a:off x="0" y="0"/>
                      <a:ext cx="5258435" cy="2430780"/>
                    </a:xfrm>
                    <a:prstGeom prst="rect">
                      <a:avLst/>
                    </a:prstGeom>
                    <a:noFill/>
                    <a:ln>
                      <a:noFill/>
                    </a:ln>
                  </pic:spPr>
                </pic:pic>
              </a:graphicData>
            </a:graphic>
          </wp:inline>
        </w:drawing>
      </w:r>
    </w:p>
    <w:p>
      <w:pPr>
        <w:pStyle w:val="4"/>
        <w:keepNext/>
      </w:pPr>
      <w:bookmarkStart w:id="271" w:name="_Toc242962116"/>
      <w:r>
        <w:t xml:space="preserve">3.1.2 储蓄目标与消费复盘</w:t>
      </w:r>
      <w:bookmarkEnd w:id="271"/>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储蓄目标用于区分当前可用资金与阶段性资金安排；消费回访记录实际体验，每周复盘则把多次记录汇总为可反思的消费经历，连接消费前的预期与消费后的感受。</w:t>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（1）目标分配与储蓄管理</w:t>
      </w:r>
    </w:p>
    <w:p w14:paraId="5E7F6A77">
      <w:pPr>
        <w:numPr>
          <w:ilvl w:val="0"/>
          <w:numId w:val="0"/>
        </w:numPr>
        <w:spacing w:before="100" w:after="20"/>
      </w:pPr>
      <w:r>
        <w:drawing>
          <wp:inline distT="0" distB="0" distL="114300" distR="114300">
            <wp:extent cx="5258435" cy="2430780"/>
            <wp:effectExtent l="0" t="0" r="8890" b="762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4"/>
                    <a:stretch>
                      <a:fillRect/>
                    </a:stretch>
                  </pic:blipFill>
                  <pic:spPr>
                    <a:xfrm>
                      <a:off x="0" y="0"/>
                      <a:ext cx="5258435" cy="2430780"/>
                    </a:xfrm>
                    <a:prstGeom prst="rect">
                      <a:avLst/>
                    </a:prstGeom>
                    <a:noFill/>
                    <a:ln>
                      <a:noFill/>
                    </a:ln>
                  </pic:spPr>
                </pic:pic>
              </a:graphicData>
            </a:graphic>
          </wp:inline>
        </w:drawing>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（2）收支回顾与每周复盘</w:t>
      </w:r>
    </w:p>
    <w:p w14:paraId="4C073770">
      <w:pPr>
        <w:numPr>
          <w:ilvl w:val="0"/>
          <w:numId w:val="0"/>
        </w:numPr>
        <w:spacing w:before="100" w:after="20"/>
      </w:pPr>
      <w:r>
        <w:drawing>
          <wp:inline distT="0" distB="0" distL="114300" distR="114300">
            <wp:extent cx="5258435" cy="2430780"/>
            <wp:effectExtent l="0" t="0" r="8890" b="762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8"/>
                    <a:stretch>
                      <a:fillRect/>
                    </a:stretch>
                  </pic:blipFill>
                  <pic:spPr>
                    <a:xfrm>
                      <a:off x="0" y="0"/>
                      <a:ext cx="5258435" cy="2430780"/>
                    </a:xfrm>
                    <a:prstGeom prst="rect">
                      <a:avLst/>
                    </a:prstGeom>
                    <a:noFill/>
                    <a:ln>
                      <a:noFill/>
                    </a:ln>
                  </pic:spPr>
                </pic:pic>
              </a:graphicData>
            </a:graphic>
          </wp:inline>
        </w:drawing>
      </w:r>
    </w:p>
    <w:p w14:paraId="40C9F887">
      <w:pPr>
        <w:numPr>
          <w:ilvl w:val="0"/>
          <w:numId w:val="0"/>
        </w:numPr>
        <w:spacing w:before="100" w:after="20"/>
      </w:pPr>
      <w:r>
        <w:drawing>
          <wp:inline distT="0" distB="0" distL="114300" distR="114300">
            <wp:extent cx="5258435" cy="2430780"/>
            <wp:effectExtent l="0" t="0" r="8890" b="762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19"/>
                    <a:stretch>
                      <a:fillRect/>
                    </a:stretch>
                  </pic:blipFill>
                  <pic:spPr>
                    <a:xfrm>
                      <a:off x="0" y="0"/>
                      <a:ext cx="5258435" cy="2430780"/>
                    </a:xfrm>
                    <a:prstGeom prst="rect">
                      <a:avLst/>
                    </a:prstGeom>
                    <a:noFill/>
                    <a:ln>
                      <a:noFill/>
                    </a:ln>
                  </pic:spPr>
                </pic:pic>
              </a:graphicData>
            </a:graphic>
          </wp:inline>
        </w:drawing>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（3）单笔消费回访</w:t>
      </w:r>
    </w:p>
    <w:p w14:paraId="585A7CA5">
      <w:pPr>
        <w:numPr>
          <w:ilvl w:val="0"/>
          <w:numId w:val="0"/>
        </w:numPr>
        <w:spacing w:before="100" w:after="20"/>
      </w:pPr>
      <w:r>
        <w:drawing>
          <wp:inline distT="0" distB="0" distL="114300" distR="114300">
            <wp:extent cx="5258435" cy="2430780"/>
            <wp:effectExtent l="0" t="0" r="8890" b="762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41"/>
                    <a:stretch>
                      <a:fillRect/>
                    </a:stretch>
                  </pic:blipFill>
                  <pic:spPr>
                    <a:xfrm>
                      <a:off x="0" y="0"/>
                      <a:ext cx="5258435" cy="2430780"/>
                    </a:xfrm>
                    <a:prstGeom prst="rect">
                      <a:avLst/>
                    </a:prstGeom>
                    <a:noFill/>
                    <a:ln>
                      <a:noFill/>
                    </a:ln>
                  </pic:spPr>
                </pic:pic>
              </a:graphicData>
            </a:graphic>
          </wp:inline>
        </w:drawing>
      </w:r>
    </w:p>
    <w:p w14:paraId="7317E702">
      <w:pPr>
        <w:numPr>
          <w:ilvl w:val="0"/>
          <w:numId w:val="0"/>
        </w:numPr>
        <w:spacing w:before="100" w:after="20"/>
        <w:rPr>
          <w:rFonts w:hint="default"/>
          <w:lang w:val="en-US" w:eastAsia="zh-CN"/>
        </w:rPr>
      </w:pPr>
      <w:r>
        <w:drawing>
          <wp:inline distT="0" distB="0" distL="114300" distR="114300">
            <wp:extent cx="5258435" cy="2430780"/>
            <wp:effectExtent l="0" t="0" r="8890" b="762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42"/>
                    <a:stretch>
                      <a:fillRect/>
                    </a:stretch>
                  </pic:blipFill>
                  <pic:spPr>
                    <a:xfrm>
                      <a:off x="0" y="0"/>
                      <a:ext cx="5258435" cy="2430780"/>
                    </a:xfrm>
                    <a:prstGeom prst="rect">
                      <a:avLst/>
                    </a:prstGeom>
                    <a:noFill/>
                    <a:ln>
                      <a:noFill/>
                    </a:ln>
                  </pic:spPr>
                </pic:pic>
              </a:graphicData>
            </a:graphic>
          </wp:inline>
        </w:drawing>
      </w:r>
    </w:p>
    <w:p>
      <w:pPr>
        <w:pStyle w:val="4"/>
        <w:keepNext/>
      </w:pPr>
      <w:bookmarkStart w:id="272" w:name="_Toc242962117"/>
      <w:r>
        <w:t xml:space="preserve">3.1.3 确定性计算与技术指标</w:t>
      </w:r>
      <w:bookmarkEnd w:id="272"/>
    </w:p>
    <w:p w14:paraId="48C31AE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计算统一处理实际收入、净支出、结转和储蓄内部划拨。资金账目及划拨以整数分维护，必要计算采用Decimal；储蓄转入减少可用资金，但不记为消费，释放则反向调整。预计收入与实际到账分开，未确认的结转保留未知状态，避免重复扣减或把预期当作余额。</w:t>
      </w:r>
    </w:p>
    <w:p w14:paraId="7FEB808E">
      <w:pPr>
        <w:spacing w:before="60" w:after="160"/>
        <w:jc w:val="center"/>
        <w:rPr>
          <w:rFonts w:hint="eastAsia"/>
        </w:rPr>
      </w:pPr>
      <m:oMathPara>
        <m:oMath>
          <m:r>
            <m:rPr/>
            <w:rPr>
              <w:rFonts w:ascii="Cambria Math" w:hAnsi="Cambria Math"/>
            </w:rPr>
            <m:t>本月可用剩余 = 上月确认结转 + 本月实际收入 − 本月净支出 − 本月净储蓄划拨</m:t>
          </m:r>
        </m:oMath>
      </m:oMathPara>
    </w:p>
    <w:p w14:paraId="08AFBEB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消费等价结余天数借鉴机会成本与预算约束的分析思路，但属于明确假设下的解释指标。设单笔消费金额为C，估算月结余为S；当S大于0时，以每月30天折算日均结余，并计算积累同等金额结余所需的时间：</w:t>
      </w:r>
    </w:p>
    <w:p w14:paraId="593491DA">
      <w:pPr>
        <w:spacing w:before="60" w:after="160"/>
        <w:jc w:val="center"/>
        <w:rPr>
          <w:rFonts w:hint="eastAsia"/>
        </w:rPr>
      </w:pPr>
      <m:oMathPara>
        <m:oMath>
          <m:r>
            <m:rPr/>
            <w:rPr>
              <w:rFonts w:ascii="Cambria Math" w:hAnsi="Cambria Math"/>
            </w:rPr>
            <m:t>日均结余 = S / 30                 等价结余天数 D = C / (S / 30) = 30C / S</m:t>
          </m:r>
        </m:oMath>
      </m:oMathPara>
    </w:p>
    <w:p w14:paraId="50CC3F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例如，月收入2000元、月均支出1400元，估算月结余为600元；150元消费对应7.5天的等价结余。该结果表示“在结余水平不变时积累150元约需7.5天”，不意味着某个具体目标必然推迟7.5天。严格的机会成本还需比较被放弃的替代用途；实际目标进度应结合目标金额、已有储蓄、未来开支和现金流另行测算。</w:t>
      </w:r>
    </w:p>
    <w:p w14:paraId="32146F0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月结余非正、数据不足或收入口径不清时，系统不强行输出天数。对于有正结余的估算，说明观察期和输入完整性，避免将短期记录当作稳定长期收入。计算结果保留原始输入、精度、基准日期与适用条件；性能测试将程序计算、数据库、网络与外部模型调用分开计时。</w:t>
      </w:r>
    </w:p>
    <w:p>
      <w:pPr>
        <w:pStyle w:val="3"/>
        <w:bidi w:val="0"/>
        <w:rPr>
          <w:rFonts w:hint="default"/>
          <w:lang w:val="en-US" w:eastAsia="zh-CN"/>
        </w:rPr>
        <w:keepNext/>
      </w:pPr>
      <w:bookmarkStart w:id="273" w:name="_Toc242962118"/>
      <w:r>
        <w:rPr>
          <w:rFonts w:hint="default"/>
          <w:lang w:val="en-US" w:eastAsia="zh-CN"/>
        </w:rPr>
        <w:t xml:space="preserve">3.2 金融素养学习与 AI 教练模块</w:t>
      </w:r>
      <w:bookmarkEnd w:id="273"/>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本模块将主题知识、情境练习和对话辅导结合起来，帮助用户理解预算、机会成本、资金预留及风险，并在真实账目和新情境中练习运用。</w:t>
      </w:r>
    </w:p>
    <w:p>
      <w:pPr>
        <w:pStyle w:val="4"/>
        <w:keepNext/>
      </w:pPr>
      <w:bookmarkStart w:id="274" w:name="_Toc242962119"/>
      <w:r>
        <w:t xml:space="preserve">3.2.1 主题学习与情境练习</w:t>
      </w:r>
      <w:bookmarkEnd w:id="274"/>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用户可从首页的练习入口开始，先表达自己的判断，再查看提示并记录思考。自我探索记录、学习主题与知识库共同提供学习入口，练习完成情况用于回顾学习经历。</w:t>
      </w:r>
    </w:p>
    <w:p w14:paraId="232453F9">
      <w:pPr>
        <w:numPr>
          <w:ilvl w:val="0"/>
          <w:numId w:val="0"/>
        </w:numPr>
        <w:spacing w:before="100" w:after="20"/>
      </w:pPr>
      <w:r>
        <w:drawing>
          <wp:inline distT="0" distB="0" distL="114300" distR="114300">
            <wp:extent cx="5258435" cy="2430780"/>
            <wp:effectExtent l="0" t="0" r="8890"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5258435" cy="2430780"/>
                    </a:xfrm>
                    <a:prstGeom prst="rect">
                      <a:avLst/>
                    </a:prstGeom>
                    <a:noFill/>
                    <a:ln>
                      <a:noFill/>
                    </a:ln>
                  </pic:spPr>
                </pic:pic>
              </a:graphicData>
            </a:graphic>
          </wp:inline>
        </w:drawing>
      </w:r>
    </w:p>
    <w:p w14:paraId="706D1433">
      <w:pPr>
        <w:numPr>
          <w:ilvl w:val="0"/>
          <w:numId w:val="0"/>
        </w:numPr>
        <w:spacing w:before="100" w:after="20"/>
      </w:pPr>
      <w:r>
        <w:drawing>
          <wp:inline distT="0" distB="0" distL="114300" distR="114300">
            <wp:extent cx="2534285" cy="2339340"/>
            <wp:effectExtent l="0" t="0" r="8890"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2534285" cy="23393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49525" cy="2339340"/>
            <wp:effectExtent l="0" t="0" r="3175" b="38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4"/>
                    <a:stretch>
                      <a:fillRect/>
                    </a:stretch>
                  </pic:blipFill>
                  <pic:spPr>
                    <a:xfrm>
                      <a:off x="0" y="0"/>
                      <a:ext cx="2549525" cy="2339340"/>
                    </a:xfrm>
                    <a:prstGeom prst="rect">
                      <a:avLst/>
                    </a:prstGeom>
                    <a:noFill/>
                    <a:ln>
                      <a:noFill/>
                    </a:ln>
                  </pic:spPr>
                </pic:pic>
              </a:graphicData>
            </a:graphic>
          </wp:inline>
        </w:drawing>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（1）自我探索与记录回顾</w:t>
      </w:r>
    </w:p>
    <w:p w14:paraId="52684E85">
      <w:pPr>
        <w:numPr>
          <w:ilvl w:val="0"/>
          <w:numId w:val="0"/>
        </w:numPr>
        <w:spacing w:before="100" w:after="20"/>
      </w:pPr>
      <w:r>
        <w:drawing>
          <wp:inline distT="0" distB="0" distL="114300" distR="114300">
            <wp:extent cx="5258435" cy="2430780"/>
            <wp:effectExtent l="0" t="0" r="889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5"/>
                    <a:stretch>
                      <a:fillRect/>
                    </a:stretch>
                  </pic:blipFill>
                  <pic:spPr>
                    <a:xfrm>
                      <a:off x="0" y="0"/>
                      <a:ext cx="5258435" cy="2430780"/>
                    </a:xfrm>
                    <a:prstGeom prst="rect">
                      <a:avLst/>
                    </a:prstGeom>
                    <a:noFill/>
                    <a:ln>
                      <a:noFill/>
                    </a:ln>
                  </pic:spPr>
                </pic:pic>
              </a:graphicData>
            </a:graphic>
          </wp:inline>
        </w:drawing>
      </w:r>
    </w:p>
    <w:p w14:paraId="66AFA62E">
      <w:pPr>
        <w:numPr>
          <w:ilvl w:val="0"/>
          <w:numId w:val="0"/>
        </w:numPr>
        <w:spacing w:before="100" w:after="20"/>
      </w:pPr>
      <w:r>
        <w:drawing>
          <wp:inline distT="0" distB="0" distL="114300" distR="114300">
            <wp:extent cx="5258435" cy="2430780"/>
            <wp:effectExtent l="0" t="0" r="889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6"/>
                    <a:stretch>
                      <a:fillRect/>
                    </a:stretch>
                  </pic:blipFill>
                  <pic:spPr>
                    <a:xfrm>
                      <a:off x="0" y="0"/>
                      <a:ext cx="5258435" cy="2430780"/>
                    </a:xfrm>
                    <a:prstGeom prst="rect">
                      <a:avLst/>
                    </a:prstGeom>
                    <a:noFill/>
                    <a:ln>
                      <a:noFill/>
                    </a:ln>
                  </pic:spPr>
                </pic:pic>
              </a:graphicData>
            </a:graphic>
          </wp:inline>
        </w:drawing>
      </w:r>
    </w:p>
    <w:p w14:paraId="4C1D441E">
      <w:pPr>
        <w:numPr>
          <w:ilvl w:val="0"/>
          <w:numId w:val="0"/>
        </w:numPr>
        <w:spacing w:before="100" w:after="20"/>
      </w:pPr>
      <w:r>
        <w:drawing>
          <wp:inline distT="0" distB="0" distL="114300" distR="114300">
            <wp:extent cx="5258435" cy="2430780"/>
            <wp:effectExtent l="0" t="0" r="8890" b="762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7"/>
                    <a:stretch>
                      <a:fillRect/>
                    </a:stretch>
                  </pic:blipFill>
                  <pic:spPr>
                    <a:xfrm>
                      <a:off x="0" y="0"/>
                      <a:ext cx="5258435" cy="2430780"/>
                    </a:xfrm>
                    <a:prstGeom prst="rect">
                      <a:avLst/>
                    </a:prstGeom>
                    <a:noFill/>
                    <a:ln>
                      <a:noFill/>
                    </a:ln>
                  </pic:spPr>
                </pic:pic>
              </a:graphicData>
            </a:graphic>
          </wp:inline>
        </w:drawing>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（2）情境练习与主题学习</w:t>
      </w:r>
    </w:p>
    <w:p w14:paraId="0AA0A6B1">
      <w:pPr>
        <w:numPr>
          <w:ilvl w:val="0"/>
          <w:numId w:val="0"/>
        </w:numPr>
        <w:spacing w:before="100" w:after="20"/>
      </w:pPr>
      <w:r>
        <w:drawing>
          <wp:inline distT="0" distB="0" distL="114300" distR="114300">
            <wp:extent cx="5258435" cy="2430780"/>
            <wp:effectExtent l="0" t="0" r="8890"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43"/>
                    <a:stretch>
                      <a:fillRect/>
                    </a:stretch>
                  </pic:blipFill>
                  <pic:spPr>
                    <a:xfrm>
                      <a:off x="0" y="0"/>
                      <a:ext cx="5258435" cy="2430780"/>
                    </a:xfrm>
                    <a:prstGeom prst="rect">
                      <a:avLst/>
                    </a:prstGeom>
                    <a:noFill/>
                    <a:ln>
                      <a:noFill/>
                    </a:ln>
                  </pic:spPr>
                </pic:pic>
              </a:graphicData>
            </a:graphic>
          </wp:inline>
        </w:drawing>
      </w:r>
    </w:p>
    <w:p w14:paraId="5A00A779">
      <w:pPr>
        <w:numPr>
          <w:ilvl w:val="0"/>
          <w:numId w:val="0"/>
        </w:numPr>
        <w:spacing w:before="100" w:after="20"/>
      </w:pPr>
      <w:r>
        <w:drawing>
          <wp:inline distT="0" distB="0" distL="114300" distR="114300">
            <wp:extent cx="5258435" cy="2430780"/>
            <wp:effectExtent l="0" t="0" r="889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4"/>
                    <a:stretch>
                      <a:fillRect/>
                    </a:stretch>
                  </pic:blipFill>
                  <pic:spPr>
                    <a:xfrm>
                      <a:off x="0" y="0"/>
                      <a:ext cx="5258435" cy="2430780"/>
                    </a:xfrm>
                    <a:prstGeom prst="rect">
                      <a:avLst/>
                    </a:prstGeom>
                    <a:noFill/>
                    <a:ln>
                      <a:noFill/>
                    </a:ln>
                  </pic:spPr>
                </pic:pic>
              </a:graphicData>
            </a:graphic>
          </wp:inline>
        </w:drawing>
      </w:r>
    </w:p>
    <w:p w14:paraId="1C1A1413">
      <w:pPr>
        <w:numPr>
          <w:ilvl w:val="0"/>
          <w:numId w:val="0"/>
        </w:numPr>
        <w:spacing w:before="100" w:after="20"/>
      </w:pPr>
      <w:r>
        <w:drawing>
          <wp:inline distT="0" distB="0" distL="114300" distR="114300">
            <wp:extent cx="5258435" cy="2430780"/>
            <wp:effectExtent l="0" t="0" r="8890"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45"/>
                    <a:stretch>
                      <a:fillRect/>
                    </a:stretch>
                  </pic:blipFill>
                  <pic:spPr>
                    <a:xfrm>
                      <a:off x="0" y="0"/>
                      <a:ext cx="5258435" cy="2430780"/>
                    </a:xfrm>
                    <a:prstGeom prst="rect">
                      <a:avLst/>
                    </a:prstGeom>
                    <a:noFill/>
                    <a:ln>
                      <a:noFill/>
                    </a:ln>
                  </pic:spPr>
                </pic:pic>
              </a:graphicData>
            </a:graphic>
          </wp:inline>
        </w:drawing>
      </w:r>
    </w:p>
    <w:p w14:paraId="386A5F2A">
      <w:pPr>
        <w:numPr>
          <w:ilvl w:val="0"/>
          <w:numId w:val="0"/>
        </w:numPr>
        <w:spacing w:before="100" w:after="20"/>
      </w:pPr>
      <w:r>
        <w:drawing>
          <wp:inline distT="0" distB="0" distL="114300" distR="114300">
            <wp:extent cx="5258435" cy="2430780"/>
            <wp:effectExtent l="0" t="0" r="889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6"/>
                    <a:stretch>
                      <a:fillRect/>
                    </a:stretch>
                  </pic:blipFill>
                  <pic:spPr>
                    <a:xfrm>
                      <a:off x="0" y="0"/>
                      <a:ext cx="5258435" cy="2430780"/>
                    </a:xfrm>
                    <a:prstGeom prst="rect">
                      <a:avLst/>
                    </a:prstGeom>
                    <a:noFill/>
                    <a:ln>
                      <a:noFill/>
                    </a:ln>
                  </pic:spPr>
                </pic:pic>
              </a:graphicData>
            </a:graphic>
          </wp:inline>
        </w:drawing>
      </w:r>
    </w:p>
    <w:p w14:paraId="553D032D">
      <w:pPr>
        <w:numPr>
          <w:ilvl w:val="0"/>
          <w:numId w:val="0"/>
        </w:numPr>
        <w:spacing w:before="100" w:after="20"/>
      </w:pPr>
      <w:r>
        <w:drawing>
          <wp:inline distT="0" distB="0" distL="114300" distR="114300">
            <wp:extent cx="5258435" cy="2430780"/>
            <wp:effectExtent l="0" t="0" r="8890" b="762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7"/>
                    <a:stretch>
                      <a:fillRect/>
                    </a:stretch>
                  </pic:blipFill>
                  <pic:spPr>
                    <a:xfrm>
                      <a:off x="0" y="0"/>
                      <a:ext cx="5258435" cy="2430780"/>
                    </a:xfrm>
                    <a:prstGeom prst="rect">
                      <a:avLst/>
                    </a:prstGeom>
                    <a:noFill/>
                    <a:ln>
                      <a:noFill/>
                    </a:ln>
                  </pic:spPr>
                </pic:pic>
              </a:graphicData>
            </a:graphic>
          </wp:inline>
        </w:drawing>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 xml:space="preserve">（3）知识库与文章阅读</w:t>
      </w:r>
    </w:p>
    <w:p w14:paraId="443EB4A4">
      <w:pPr>
        <w:numPr>
          <w:ilvl w:val="0"/>
          <w:numId w:val="0"/>
        </w:numPr>
        <w:spacing w:before="100" w:after="20"/>
      </w:pPr>
      <w:r>
        <w:drawing>
          <wp:inline distT="0" distB="0" distL="114300" distR="114300">
            <wp:extent cx="5258435" cy="2430780"/>
            <wp:effectExtent l="0" t="0" r="889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8"/>
                    <a:stretch>
                      <a:fillRect/>
                    </a:stretch>
                  </pic:blipFill>
                  <pic:spPr>
                    <a:xfrm>
                      <a:off x="0" y="0"/>
                      <a:ext cx="5258435" cy="2430780"/>
                    </a:xfrm>
                    <a:prstGeom prst="rect">
                      <a:avLst/>
                    </a:prstGeom>
                    <a:noFill/>
                    <a:ln>
                      <a:noFill/>
                    </a:ln>
                  </pic:spPr>
                </pic:pic>
              </a:graphicData>
            </a:graphic>
          </wp:inline>
        </w:drawing>
      </w:r>
    </w:p>
    <w:p w14:paraId="28492144">
      <w:pPr>
        <w:numPr>
          <w:ilvl w:val="0"/>
          <w:numId w:val="0"/>
        </w:numPr>
        <w:spacing w:before="100" w:after="20"/>
      </w:pPr>
      <w:r>
        <w:drawing>
          <wp:inline distT="0" distB="0" distL="114300" distR="114300">
            <wp:extent cx="5258435" cy="2430780"/>
            <wp:effectExtent l="0" t="0" r="8890" b="762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9"/>
                    <a:stretch>
                      <a:fillRect/>
                    </a:stretch>
                  </pic:blipFill>
                  <pic:spPr>
                    <a:xfrm>
                      <a:off x="0" y="0"/>
                      <a:ext cx="5258435" cy="2430780"/>
                    </a:xfrm>
                    <a:prstGeom prst="rect">
                      <a:avLst/>
                    </a:prstGeom>
                    <a:noFill/>
                    <a:ln>
                      <a:noFill/>
                    </a:ln>
                  </pic:spPr>
                </pic:pic>
              </a:graphicData>
            </a:graphic>
          </wp:inline>
        </w:drawing>
      </w:r>
    </w:p>
    <w:p w14:paraId="06B716A0">
      <w:pPr>
        <w:numPr>
          <w:ilvl w:val="0"/>
          <w:numId w:val="0"/>
        </w:numPr>
        <w:spacing w:before="100" w:after="20"/>
      </w:pPr>
      <w:r>
        <w:drawing>
          <wp:inline distT="0" distB="0" distL="114300" distR="114300">
            <wp:extent cx="5258435" cy="2430780"/>
            <wp:effectExtent l="0" t="0" r="8890" b="762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50"/>
                    <a:stretch>
                      <a:fillRect/>
                    </a:stretch>
                  </pic:blipFill>
                  <pic:spPr>
                    <a:xfrm>
                      <a:off x="0" y="0"/>
                      <a:ext cx="5258435" cy="2430780"/>
                    </a:xfrm>
                    <a:prstGeom prst="rect">
                      <a:avLst/>
                    </a:prstGeom>
                    <a:noFill/>
                    <a:ln>
                      <a:noFill/>
                    </a:ln>
                  </pic:spPr>
                </pic:pic>
              </a:graphicData>
            </a:graphic>
          </wp:inline>
        </w:drawing>
      </w:r>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Kestin 等（2025）的大学课堂随机试验为按教学原则设计 AI 辅导提供了实证参考；Bastani 等（2025）则提示，应同时观察撤去 AI 后的独立表现。青盈据此把解释、分级提示和新情境练习联系起来，具体金融素养效果仍由第四章的校园验证方案检验。</w:t>
      </w:r>
      <w:r>
        <w:rPr>
          <w:rFonts w:ascii="Times New Roman" w:hAnsi="Times New Roman"/>
          <w:sz w:val="18"/>
          <w:vertAlign w:val="superscript"/>
        </w:rPr>
        <w:t>[9,12]</w:t>
      </w:r>
    </w:p>
    <w:p>
      <w:pPr>
        <w:pStyle w:val="4"/>
        <w:keepNext/>
      </w:pPr>
      <w:bookmarkStart w:id="275" w:name="_Toc242962120"/>
      <w:r>
        <w:t xml:space="preserve">3.2.2 AI 教练与回答可靠性</w:t>
      </w:r>
      <w:bookmarkEnd w:id="275"/>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AI 教练承接用户的具体问题，关联个人收支事实、适用知识和连续追问，使学习内容能够对应真实的资金安排。对话界面如下。</w:t>
      </w:r>
    </w:p>
    <w:p w14:paraId="322932BD">
      <w:pPr>
        <w:numPr>
          <w:ilvl w:val="0"/>
          <w:numId w:val="0"/>
        </w:numPr>
        <w:spacing w:before="100" w:after="20"/>
      </w:pPr>
      <w:r>
        <w:drawing>
          <wp:inline distT="0" distB="0" distL="114300" distR="114300">
            <wp:extent cx="5258435" cy="2430780"/>
            <wp:effectExtent l="0" t="0" r="889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0"/>
                    <a:stretch>
                      <a:fillRect/>
                    </a:stretch>
                  </pic:blipFill>
                  <pic:spPr>
                    <a:xfrm>
                      <a:off x="0" y="0"/>
                      <a:ext cx="5258435" cy="2430780"/>
                    </a:xfrm>
                    <a:prstGeom prst="rect">
                      <a:avLst/>
                    </a:prstGeom>
                    <a:noFill/>
                    <a:ln>
                      <a:noFill/>
                    </a:ln>
                  </pic:spPr>
                </pic:pic>
              </a:graphicData>
            </a:graphic>
          </wp:inline>
        </w:drawing>
      </w:r>
    </w:p>
    <w:p w14:paraId="702FF7E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AI 教练的检索对象是经审核的金融知识片段，推荐模块的对象是播客单集，两者任务不同。教练以 RAG 思路把外部知识引入生成过程，进一步用财务工具补充个人事实，避免仅依赖模型参数回答个人收支问题。</w:t>
      </w:r>
      <w:r>
        <w:rPr>
          <w:rFonts w:ascii="Times New Roman" w:hAnsi="Times New Roman"/>
          <w:sz w:val="18"/>
          <w:vertAlign w:val="superscript"/>
        </w:rPr>
        <w:t>[6]</w:t>
      </w:r>
    </w:p>
    <w:p w14:paraId="7B46B2A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双路召回与精排。 BM25 利用词项匹配处理预算、分期等明确概念；语义向量检索处理“月底总不够用”等口语与同义表达。两路候选通过 RRF 按排名融合，减少分数尺度差异，再由交叉编码器联合读取问题与片段进行相关性精排。资料切分时保留标题、来源、适用条件和版本，并核对检索片段是否足以支撑回答。</w:t>
      </w:r>
    </w:p>
    <w:p w14:paraId="6240D18A">
      <w:pPr>
        <w:spacing w:before="60" w:after="160"/>
        <w:jc w:val="center"/>
        <w:rPr>
          <w:rFonts w:hint="eastAsia"/>
        </w:rPr>
      </w:pPr>
      <m:oMathPara>
        <m:oMath>
          <m:r>
            <m:rPr/>
            <w:rPr>
              <w:rFonts w:ascii="Cambria Math" w:hAnsi="Cambria Math"/>
            </w:rPr>
            <m:t>RRF(d) = Σᵢ 1 / (k + rankᵢ(d))</m:t>
          </m:r>
        </m:oMath>
      </m:oMathPara>
    </w:p>
    <w:p w14:paraId="6BB3745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其中，d为知识片段，rankᵢ为第i路检索中的名次，k为融合平滑参数；未被某一路召回的片段不计该路得分。参数与候选数量通过验证集选择，并固定后再开展测试。</w:t>
      </w:r>
    </w:p>
    <w:p w14:paraId="5E84472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财务工具与解释生成。 工具输出金额、单位、统计区间、基准日期、数据完整性和事实标识。大模型负责把这些事实与知识依据转化为适合学生理解的说明。涉及用户个人金额的新增推算应回到程序工具；一般教学例子标明假设，避免与用户真实账目混淆。</w:t>
      </w:r>
    </w:p>
    <w:p w14:paraId="13AAEA6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回复核验与学习引导。 校验器对照本轮事实检查数值引用、资金口径及来源标识；证据不足时说明缺少什么信息。连续追问保留必要上下文，用户更正条件后重新计算。教练根据任务提供直接解释或分级提示，评价重点是学生能否理解依据，而非回答长度或语气是否热情。</w:t>
      </w:r>
    </w:p>
    <w:p w14:paraId="1EEF4A96">
      <w:pPr>
        <w:pStyle w:val="7"/>
        <w:keepNext/>
        <w:jc w:val="center"/>
      </w:pPr>
      <w:r>
        <w:t>表3-1 AI 教练算法评价方案</w:t>
      </w:r>
    </w:p>
    <w:tbl>
      <w:tblPr>
        <w:tblStyle w:val="19"/>
        <w:tblW w:w="0" w:type="auto"/>
        <w:jc w:val="center"/>
        <w:tblLayout w:type="fixed"/>
        <w:tblCellMar>
          <w:top w:w="0" w:type="dxa"/>
          <w:left w:w="108" w:type="dxa"/>
          <w:bottom w:w="0" w:type="dxa"/>
          <w:right w:w="108" w:type="dxa"/>
        </w:tblCellMar>
      </w:tblPr>
      <w:tblGrid>
        <w:gridCol w:w="2268"/>
        <w:gridCol w:w="2835"/>
        <w:gridCol w:w="4139"/>
      </w:tblGrid>
      <w:tr w14:paraId="2690BB4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D0D15D0">
            <w:pPr>
              <w:keepNext/>
              <w:spacing w:after="40" w:line="276" w:lineRule="auto"/>
              <w:rPr>
                <w:rFonts w:hint="eastAsia"/>
              </w:rPr>
            </w:pPr>
            <w:r>
              <w:rPr>
                <w:rFonts w:ascii="Times New Roman" w:hAnsi="Times New Roman" w:eastAsia="宋体"/>
                <w:b/>
                <w:sz w:val="20"/>
              </w:rPr>
              <w:t>评价问题</w:t>
            </w:r>
          </w:p>
        </w:tc>
        <w:tc>
          <w:tcPr>
            <w:tcW w:w="283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A0AA4AD">
            <w:pPr>
              <w:keepNext/>
              <w:spacing w:after="40" w:line="276" w:lineRule="auto"/>
              <w:rPr>
                <w:rFonts w:hint="eastAsia"/>
              </w:rPr>
            </w:pPr>
            <w:r>
              <w:rPr>
                <w:rFonts w:ascii="Times New Roman" w:hAnsi="Times New Roman" w:eastAsia="宋体"/>
                <w:b/>
                <w:sz w:val="20"/>
              </w:rPr>
              <w:t>指标与口径</w:t>
            </w:r>
          </w:p>
        </w:tc>
        <w:tc>
          <w:tcPr>
            <w:tcW w:w="413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55C7210">
            <w:pPr>
              <w:keepNext/>
              <w:spacing w:after="40" w:line="276" w:lineRule="auto"/>
              <w:rPr>
                <w:rFonts w:hint="eastAsia"/>
              </w:rPr>
            </w:pPr>
            <w:r>
              <w:rPr>
                <w:rFonts w:ascii="Times New Roman" w:hAnsi="Times New Roman" w:eastAsia="宋体"/>
                <w:b/>
                <w:sz w:val="20"/>
              </w:rPr>
              <w:t>比较与检查方法</w:t>
            </w:r>
          </w:p>
        </w:tc>
      </w:tr>
      <w:tr w14:paraId="16B6B4D4">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6CBEF3">
            <w:pPr>
              <w:keepNext/>
              <w:spacing w:after="40" w:line="276" w:lineRule="auto"/>
              <w:rPr>
                <w:rFonts w:hint="eastAsia"/>
              </w:rPr>
            </w:pPr>
            <w:r>
              <w:rPr>
                <w:rFonts w:ascii="Times New Roman" w:hAnsi="Times New Roman" w:eastAsia="宋体"/>
                <w:sz w:val="20"/>
              </w:rPr>
              <w:t>能否找到适用知识</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E6404C">
            <w:pPr>
              <w:keepNext/>
              <w:spacing w:after="40" w:line="276" w:lineRule="auto"/>
              <w:rPr>
                <w:rFonts w:hint="eastAsia"/>
              </w:rPr>
            </w:pPr>
            <w:r>
              <w:rPr>
                <w:rFonts w:ascii="Times New Roman" w:hAnsi="Times New Roman" w:eastAsia="宋体"/>
                <w:sz w:val="20"/>
              </w:rPr>
              <w:t>Recall@5、nDCG@5</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DA383">
            <w:pPr>
              <w:keepNext/>
              <w:spacing w:after="40" w:line="276" w:lineRule="auto"/>
              <w:rPr>
                <w:rFonts w:hint="eastAsia"/>
              </w:rPr>
            </w:pPr>
            <w:r>
              <w:rPr>
                <w:rFonts w:ascii="Times New Roman" w:hAnsi="Times New Roman" w:eastAsia="宋体"/>
                <w:sz w:val="20"/>
              </w:rPr>
              <w:t>独立标注问题；比较词面、语义及混合检索</w:t>
            </w:r>
          </w:p>
        </w:tc>
      </w:tr>
      <w:tr w14:paraId="5624082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3F37E">
            <w:pPr>
              <w:keepNext/>
              <w:spacing w:after="40" w:line="276" w:lineRule="auto"/>
              <w:rPr>
                <w:rFonts w:hint="eastAsia"/>
              </w:rPr>
            </w:pPr>
            <w:r>
              <w:rPr>
                <w:rFonts w:ascii="Times New Roman" w:hAnsi="Times New Roman" w:eastAsia="宋体"/>
                <w:sz w:val="20"/>
              </w:rPr>
              <w:t>结论是否正确且有依据</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E117BF">
            <w:pPr>
              <w:keepNext/>
              <w:spacing w:after="40" w:line="276" w:lineRule="auto"/>
              <w:rPr>
                <w:rFonts w:hint="eastAsia"/>
              </w:rPr>
            </w:pPr>
            <w:r>
              <w:rPr>
                <w:rFonts w:ascii="Times New Roman" w:hAnsi="Times New Roman" w:eastAsia="宋体"/>
                <w:sz w:val="20"/>
              </w:rPr>
              <w:t>回答正确性、证据支持率</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558AE50">
            <w:pPr>
              <w:keepNext/>
              <w:spacing w:after="40" w:line="276" w:lineRule="auto"/>
              <w:rPr>
                <w:rFonts w:hint="eastAsia"/>
              </w:rPr>
            </w:pPr>
            <w:r>
              <w:rPr>
                <w:rFonts w:ascii="Times New Roman" w:hAnsi="Times New Roman" w:eastAsia="宋体"/>
                <w:sz w:val="20"/>
              </w:rPr>
              <w:t>双人审阅与分歧复核，标记依据不足</w:t>
            </w:r>
          </w:p>
        </w:tc>
      </w:tr>
      <w:tr w14:paraId="0BBEC80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5AB3BD">
            <w:pPr>
              <w:keepNext/>
              <w:spacing w:after="40" w:line="276" w:lineRule="auto"/>
              <w:rPr>
                <w:rFonts w:hint="eastAsia"/>
              </w:rPr>
            </w:pPr>
            <w:r>
              <w:rPr>
                <w:rFonts w:ascii="Times New Roman" w:hAnsi="Times New Roman" w:eastAsia="宋体"/>
                <w:sz w:val="20"/>
              </w:rPr>
              <w:t>个人计算是否一致</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AE2A23">
            <w:pPr>
              <w:keepNext/>
              <w:spacing w:after="40" w:line="276" w:lineRule="auto"/>
              <w:rPr>
                <w:rFonts w:hint="eastAsia"/>
              </w:rPr>
            </w:pPr>
            <w:r>
              <w:rPr>
                <w:rFonts w:ascii="Times New Roman" w:hAnsi="Times New Roman" w:eastAsia="宋体"/>
                <w:sz w:val="20"/>
              </w:rPr>
              <w:t>数值与单位一致率、缺失条件处理</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933756">
            <w:pPr>
              <w:keepNext/>
              <w:spacing w:after="40" w:line="276" w:lineRule="auto"/>
              <w:rPr>
                <w:rFonts w:hint="eastAsia"/>
              </w:rPr>
            </w:pPr>
            <w:r>
              <w:rPr>
                <w:rFonts w:ascii="Times New Roman" w:hAnsi="Times New Roman" w:eastAsia="宋体"/>
                <w:sz w:val="20"/>
              </w:rPr>
              <w:t>与程序真值逐项比对，包含非正结余与更正问题</w:t>
            </w:r>
          </w:p>
        </w:tc>
      </w:tr>
      <w:tr w14:paraId="7C0C3C6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0D13C1">
            <w:pPr>
              <w:spacing w:after="40" w:line="276" w:lineRule="auto"/>
              <w:rPr>
                <w:rFonts w:hint="eastAsia"/>
              </w:rPr>
            </w:pPr>
            <w:r>
              <w:rPr>
                <w:rFonts w:ascii="Times New Roman" w:hAnsi="Times New Roman" w:eastAsia="宋体"/>
                <w:sz w:val="20"/>
              </w:rPr>
              <w:t>能否促进理解</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DBBB112">
            <w:pPr>
              <w:spacing w:after="40" w:line="276" w:lineRule="auto"/>
              <w:rPr>
                <w:rFonts w:hint="eastAsia"/>
              </w:rPr>
            </w:pPr>
            <w:r>
              <w:rPr>
                <w:rFonts w:ascii="Times New Roman" w:hAnsi="Times New Roman" w:eastAsia="宋体"/>
                <w:sz w:val="20"/>
              </w:rPr>
              <w:t>解释清晰度、新情境任务表现</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4F734">
            <w:pPr>
              <w:spacing w:after="40" w:line="276" w:lineRule="auto"/>
              <w:rPr>
                <w:rFonts w:hint="eastAsia"/>
              </w:rPr>
            </w:pPr>
            <w:r>
              <w:rPr>
                <w:rFonts w:ascii="Times New Roman" w:hAnsi="Times New Roman" w:eastAsia="宋体"/>
                <w:sz w:val="20"/>
              </w:rPr>
              <w:t>固定模板与 AI 解释对照，评价过程与迁移</w:t>
            </w:r>
          </w:p>
        </w:tc>
      </w:tr>
    </w:tbl>
    <w:p w14:paraId="7C777784">
      <w:pPr>
        <w:ind w:firstLine="420"/>
        <w:rPr>
          <w:rFonts w:hint="eastAsia"/>
        </w:rPr>
      </w:pPr>
    </w:p>
    <w:p>
      <w:pPr>
        <w:pStyle w:val="3"/>
        <w:bidi w:val="0"/>
        <w:rPr>
          <w:rFonts w:hint="default"/>
          <w:lang w:val="en-US" w:eastAsia="zh-CN"/>
        </w:rPr>
        <w:keepNext/>
      </w:pPr>
      <w:bookmarkStart w:id="276" w:name="_Toc242962121"/>
      <w:r>
        <w:rPr>
          <w:rFonts w:hint="default"/>
          <w:lang w:val="en-US" w:eastAsia="zh-CN"/>
        </w:rPr>
        <w:t xml:space="preserve">3.3 每日播客个性化推荐模块</w:t>
      </w:r>
      <w:bookmarkEnd w:id="276"/>
    </w:p>
    <w:p>
      <w:pPr>
        <w:pStyle w:val="4"/>
        <w:keepNext/>
      </w:pPr>
      <w:bookmarkStart w:id="277" w:name="_Toc242962122"/>
      <w:r>
        <w:t xml:space="preserve">3.3.1 每日推荐与用户反馈</w:t>
      </w:r>
      <w:bookmarkEnd w:id="277"/>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本模块以经审核的播客单集为内容对象，每日提供至多一期内容，并展示推荐理由和收听入口。用户的收藏、不感兴趣及“有帮助”等反馈进入后续匹配流程，使持续学习能够结合当前需求调整。</w:t>
      </w:r>
    </w:p>
    <w:p w14:paraId="47B4D3C4">
      <w:pPr>
        <w:numPr>
          <w:ilvl w:val="0"/>
          <w:numId w:val="0"/>
        </w:numPr>
        <w:spacing w:before="100" w:after="20"/>
      </w:pPr>
      <w:r>
        <w:drawing>
          <wp:inline distT="0" distB="0" distL="114300" distR="114300">
            <wp:extent cx="5258435" cy="2430780"/>
            <wp:effectExtent l="0" t="0" r="8890" b="762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0"/>
                    <a:stretch>
                      <a:fillRect/>
                    </a:stretch>
                  </pic:blipFill>
                  <pic:spPr>
                    <a:xfrm>
                      <a:off x="0" y="0"/>
                      <a:ext cx="5258435" cy="2430780"/>
                    </a:xfrm>
                    <a:prstGeom prst="rect">
                      <a:avLst/>
                    </a:prstGeom>
                    <a:noFill/>
                    <a:ln>
                      <a:noFill/>
                    </a:ln>
                  </pic:spPr>
                </pic:pic>
              </a:graphicData>
            </a:graphic>
          </wp:inline>
        </w:drawing>
      </w:r>
    </w:p>
    <w:p w14:paraId="6F5D00FA">
      <w:pPr>
        <w:numPr>
          <w:ilvl w:val="0"/>
          <w:numId w:val="0"/>
        </w:numPr>
        <w:spacing w:before="100" w:after="20"/>
        <w:rPr>
          <w:rFonts w:hint="eastAsia"/>
          <w:lang w:val="en-US" w:eastAsia="zh-CN"/>
        </w:rPr>
      </w:pPr>
      <w:r>
        <w:drawing>
          <wp:inline distT="0" distB="0" distL="114300" distR="114300">
            <wp:extent cx="5258435" cy="2430780"/>
            <wp:effectExtent l="0" t="0" r="8890"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21"/>
                    <a:stretch>
                      <a:fillRect/>
                    </a:stretch>
                  </pic:blipFill>
                  <pic:spPr>
                    <a:xfrm>
                      <a:off x="0" y="0"/>
                      <a:ext cx="5258435" cy="2430780"/>
                    </a:xfrm>
                    <a:prstGeom prst="rect">
                      <a:avLst/>
                    </a:prstGeom>
                    <a:noFill/>
                    <a:ln>
                      <a:noFill/>
                    </a:ln>
                  </pic:spPr>
                </pic:pic>
              </a:graphicData>
            </a:graphic>
          </wp:inline>
        </w:drawing>
      </w:r>
    </w:p>
    <w:p>
      <w:pPr>
        <w:pStyle w:val="4"/>
        <w:keepNext/>
      </w:pPr>
      <w:bookmarkStart w:id="278" w:name="_Toc242962123"/>
      <w:r>
        <w:t xml:space="preserve">3.3.2 HSTU 序列建模与效果评价</w:t>
      </w:r>
      <w:bookmarkEnd w:id="278"/>
    </w:p>
    <w:p w14:paraId="06F182B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 全称为 Hierarchical Sequential Transduction Unit，是 Zhai 等提出的生成式推荐框架中的序列编码单元。青盈应用其对内容、行为和时间关系的建模方法，在审核候选内预测交互相关性。这里的生成式推荐用于序列任务建模，并不表示自动生成金融知识或音频内容。</w:t>
      </w:r>
      <w:r>
        <w:rPr>
          <w:rFonts w:ascii="Times New Roman" w:hAnsi="Times New Roman"/>
          <w:sz w:val="18"/>
          <w:vertAlign w:val="superscript"/>
        </w:rPr>
        <w:t>[11]</w:t>
      </w:r>
    </w:p>
    <w:p w14:paraId="7A2FBE5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输入编码与财务情境融合。 历史由单集标识、内容表示、行为类型和事件时间构成，统一转换为时间正序。当前已知的可用资金、储蓄目标、未来开支、学习主题及缺失标记经独立映射形成条件表示；候选单集提供主题、难度与内容表示。财务条件与序列编码、候选表示在任务头融合，如图3-1所示。历史训练样本使用该预测时点保存的快照，避免把后来才知道的信息回填到过去。</w:t>
      </w:r>
    </w:p>
    <w:p w14:paraId="14A58A4A">
      <w:pPr>
        <w:spacing w:after="60"/>
        <w:jc w:val="center"/>
        <w:rPr>
          <w:rFonts w:hint="eastAsia"/>
        </w:rPr>
        <w:keepNext/>
      </w:pPr>
      <w:r>
        <w:drawing>
          <wp:inline distT="0" distB="0" distL="0" distR="0">
            <wp:extent cx="5759450" cy="3570605"/>
            <wp:effectExtent l="0" t="0" r="3175" b="1270"/>
            <wp:docPr id="7" name="Picture 7" descr="图3-4 HSTU 输入编码与青盈财务情境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4 HSTU 输入编码与青盈财务情境融合"/>
                    <pic:cNvPicPr>
                      <a:picLocks noChangeAspect="1"/>
                    </pic:cNvPicPr>
                  </pic:nvPicPr>
                  <pic:blipFill>
                    <a:blip r:embed="rId56"/>
                    <a:stretch>
                      <a:fillRect/>
                    </a:stretch>
                  </pic:blipFill>
                  <pic:spPr>
                    <a:xfrm>
                      <a:off x="0" y="0"/>
                      <a:ext cx="5760000" cy="3571200"/>
                    </a:xfrm>
                    <a:prstGeom prst="rect">
                      <a:avLst/>
                    </a:prstGeom>
                  </pic:spPr>
                </pic:pic>
              </a:graphicData>
            </a:graphic>
          </wp:inline>
        </w:drawing>
      </w:r>
    </w:p>
    <w:p w14:paraId="2DB6F068">
      <w:pPr>
        <w:pStyle w:val="7"/>
        <w:jc w:val="center"/>
      </w:pPr>
      <w:r>
        <w:t>图3-1 HSTU 输入编码与青盈财务情境融合</w:t>
      </w:r>
    </w:p>
    <w:p w14:paraId="5E31901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核心计算机制。 输入序列经逐点投影产生 U、Q、K、V，Q与K的交互结合相对时间及位置偏置，在因果掩码下聚合历史V；聚合结果归一化后与门控分支U逐元素相乘，经映射与残差连接得到输出。相较仅累积主题次数，序列编码能够利用“先关注消费取舍、后设置储蓄目标”等顺序及间隔信息，是否改善排序由实验检验。</w:t>
      </w:r>
    </w:p>
    <w:p w14:paraId="2E726335">
      <w:pPr>
        <w:spacing w:after="60"/>
        <w:jc w:val="center"/>
        <w:rPr>
          <w:rFonts w:hint="eastAsia"/>
        </w:rPr>
        <w:keepNext/>
      </w:pPr>
      <w:r>
        <w:drawing>
          <wp:inline distT="0" distB="0" distL="0" distR="0">
            <wp:extent cx="5759450" cy="3570605"/>
            <wp:effectExtent l="0" t="0" r="3175" b="1270"/>
            <wp:docPr id="5" name="Picture 8" descr="图3-5 HSTU 核心计算与候选任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图3-5 HSTU 核心计算与候选任务预测"/>
                    <pic:cNvPicPr>
                      <a:picLocks noChangeAspect="1"/>
                    </pic:cNvPicPr>
                  </pic:nvPicPr>
                  <pic:blipFill>
                    <a:blip r:embed="rId57"/>
                    <a:stretch>
                      <a:fillRect/>
                    </a:stretch>
                  </pic:blipFill>
                  <pic:spPr>
                    <a:xfrm>
                      <a:off x="0" y="0"/>
                      <a:ext cx="5760000" cy="3571200"/>
                    </a:xfrm>
                    <a:prstGeom prst="rect">
                      <a:avLst/>
                    </a:prstGeom>
                  </pic:spPr>
                </pic:pic>
              </a:graphicData>
            </a:graphic>
          </wp:inline>
        </w:drawing>
      </w:r>
    </w:p>
    <w:p w14:paraId="7554A458">
      <w:pPr>
        <w:pStyle w:val="7"/>
        <w:jc w:val="center"/>
      </w:pPr>
      <w:r>
        <w:t>图3-2 HSTU 核心计算与候选任务预测</w:t>
      </w:r>
    </w:p>
    <w:p w14:paraId="4B31B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任务与样本构建。 点击和明确的“有帮助”反馈分别定义预测任务，避免以单一点击率替代教育价值。收藏、不感兴趣和撤回反馈保留各自含义；没有反馈不直接标记为不喜欢，未曝光候选也不作为确定负例。训练可采用相应任务的交叉熵或候选对比目标，任务权重、观察窗口和负样本策略在训练前明确，并依据验证集确定。</w:t>
      </w:r>
    </w:p>
    <w:p w14:paraId="4D6273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前候选与同一历史前缀配对进行目标感知预测。预测时允许读取已知候选内容，不允许读取其未来反馈；多个候选批量计算时保持候选间的信息隔离。模型规模与历史窗口通过效果和部署成本共同选择，不照搬论文的超大参数规模。</w:t>
      </w:r>
    </w:p>
    <w:p w14:paraId="54EA457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冷启动与服务保障。 历史较少时，系统依据用户明确选择的学习主题、当前财务条件和内容质量提供基线内容；有可用历史后进行序列精排。外部服务返回候选得分、模型版本和有效状态，业务端检查响应并保留异常回退。本地基线结合主题权重、字符n-gram哈希向量、余弦相似度与加权评分，既用于冷启动，也作为HSTU效果比较对象。</w:t>
      </w:r>
    </w:p>
    <w:p w14:paraId="3A76D8B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学科适配示例。 某用户此前关注消费取舍，随后建立电脑储蓄目标并录入考试费。系统先保留资金预留、目标规划等合格单集，再结合历史反馈顺序、间隔和当前资金条件排序。能否比单纯兴趣匹配更适用，需要通过移除财务分支的消融实验及人工相关性评价验证。推荐理由来自可追溯条件，不能据模型分数判断学生金融素养高低。</w:t>
      </w:r>
    </w:p>
    <w:p w14:paraId="7C63D391">
      <w:pPr>
        <w:pStyle w:val="7"/>
        <w:keepNext/>
        <w:jc w:val="center"/>
      </w:pPr>
      <w:r>
        <w:t>表3-2 HSTU 评价指标与对照设计</w:t>
      </w:r>
    </w:p>
    <w:tbl>
      <w:tblPr>
        <w:tblStyle w:val="19"/>
        <w:tblW w:w="0" w:type="auto"/>
        <w:jc w:val="center"/>
        <w:tblLayout w:type="fixed"/>
        <w:tblCellMar>
          <w:top w:w="0" w:type="dxa"/>
          <w:left w:w="108" w:type="dxa"/>
          <w:bottom w:w="0" w:type="dxa"/>
          <w:right w:w="108" w:type="dxa"/>
        </w:tblCellMar>
      </w:tblPr>
      <w:tblGrid>
        <w:gridCol w:w="1871"/>
        <w:gridCol w:w="2948"/>
        <w:gridCol w:w="4422"/>
      </w:tblGrid>
      <w:tr w14:paraId="2A415879">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CB856A4">
            <w:pPr>
              <w:keepNext/>
              <w:spacing w:after="40" w:line="276" w:lineRule="auto"/>
              <w:rPr>
                <w:rFonts w:hint="eastAsia"/>
              </w:rPr>
            </w:pPr>
            <w:r>
              <w:rPr>
                <w:rFonts w:ascii="Times New Roman" w:hAnsi="Times New Roman" w:eastAsia="宋体"/>
                <w:b/>
                <w:sz w:val="20"/>
              </w:rPr>
              <w:t>评价方向</w:t>
            </w:r>
          </w:p>
        </w:tc>
        <w:tc>
          <w:tcPr>
            <w:tcW w:w="294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6E099E2">
            <w:pPr>
              <w:keepNext/>
              <w:spacing w:after="40" w:line="276" w:lineRule="auto"/>
              <w:rPr>
                <w:rFonts w:hint="eastAsia"/>
              </w:rPr>
            </w:pPr>
            <w:r>
              <w:rPr>
                <w:rFonts w:ascii="Times New Roman" w:hAnsi="Times New Roman" w:eastAsia="宋体"/>
                <w:b/>
                <w:sz w:val="20"/>
              </w:rPr>
              <w:t>指标</w:t>
            </w:r>
          </w:p>
        </w:tc>
        <w:tc>
          <w:tcPr>
            <w:tcW w:w="442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17C57CE">
            <w:pPr>
              <w:keepNext/>
              <w:spacing w:after="40" w:line="276" w:lineRule="auto"/>
              <w:rPr>
                <w:rFonts w:hint="eastAsia"/>
              </w:rPr>
            </w:pPr>
            <w:r>
              <w:rPr>
                <w:rFonts w:ascii="Times New Roman" w:hAnsi="Times New Roman" w:eastAsia="宋体"/>
                <w:b/>
                <w:sz w:val="20"/>
              </w:rPr>
              <w:t>设计要求</w:t>
            </w:r>
          </w:p>
        </w:tc>
      </w:tr>
      <w:tr w14:paraId="14AA118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BDD3F">
            <w:pPr>
              <w:keepNext/>
              <w:spacing w:after="40" w:line="276" w:lineRule="auto"/>
              <w:rPr>
                <w:rFonts w:hint="eastAsia"/>
              </w:rPr>
            </w:pPr>
            <w:r>
              <w:rPr>
                <w:rFonts w:ascii="Times New Roman" w:hAnsi="Times New Roman" w:eastAsia="宋体"/>
                <w:sz w:val="20"/>
              </w:rPr>
              <w:t>候选排序</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9371B6">
            <w:pPr>
              <w:keepNext/>
              <w:spacing w:after="40" w:line="276" w:lineRule="auto"/>
              <w:rPr>
                <w:rFonts w:hint="eastAsia"/>
              </w:rPr>
            </w:pPr>
            <w:r>
              <w:rPr>
                <w:rFonts w:ascii="Times New Roman" w:hAnsi="Times New Roman" w:eastAsia="宋体"/>
                <w:sz w:val="20"/>
              </w:rPr>
              <w:t>nDCG@5、Recall@5</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7E12F5">
            <w:pPr>
              <w:keepNext/>
              <w:spacing w:after="40" w:line="276" w:lineRule="auto"/>
              <w:rPr>
                <w:rFonts w:hint="eastAsia"/>
              </w:rPr>
            </w:pPr>
            <w:r>
              <w:rPr>
                <w:rFonts w:ascii="Times New Roman" w:hAnsi="Times New Roman" w:eastAsia="宋体"/>
                <w:sz w:val="20"/>
              </w:rPr>
              <w:t>同一候选集合，对照本地基线、内容匹配与序列模型</w:t>
            </w:r>
          </w:p>
        </w:tc>
      </w:tr>
      <w:tr w14:paraId="4118CF49">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B70322D">
            <w:pPr>
              <w:keepNext/>
              <w:spacing w:after="40" w:line="276" w:lineRule="auto"/>
              <w:rPr>
                <w:rFonts w:hint="eastAsia"/>
              </w:rPr>
            </w:pPr>
            <w:r>
              <w:rPr>
                <w:rFonts w:ascii="Times New Roman" w:hAnsi="Times New Roman" w:eastAsia="宋体"/>
                <w:sz w:val="20"/>
              </w:rPr>
              <w:t>财务情境贡献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1CE06">
            <w:pPr>
              <w:keepNext/>
              <w:spacing w:after="40" w:line="276" w:lineRule="auto"/>
              <w:rPr>
                <w:rFonts w:hint="eastAsia"/>
              </w:rPr>
            </w:pPr>
            <w:r>
              <w:rPr>
                <w:rFonts w:ascii="Times New Roman" w:hAnsi="Times New Roman" w:eastAsia="宋体"/>
                <w:sz w:val="20"/>
              </w:rPr>
              <w:t>完整模型与移除财务条件的差异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9A8AD">
            <w:pPr>
              <w:keepNext/>
              <w:spacing w:after="40" w:line="276" w:lineRule="auto"/>
              <w:rPr>
                <w:rFonts w:hint="eastAsia"/>
              </w:rPr>
            </w:pPr>
            <w:r>
              <w:rPr>
                <w:rFonts w:ascii="Times New Roman" w:hAnsi="Times New Roman" w:eastAsia="宋体"/>
                <w:sz w:val="20"/>
              </w:rPr>
              <w:t>固定训练数据、候选、预算及其他配置</w:t>
            </w:r>
          </w:p>
        </w:tc>
      </w:tr>
      <w:tr w14:paraId="23C7773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D50692">
            <w:pPr>
              <w:keepNext/>
              <w:spacing w:after="40" w:line="276" w:lineRule="auto"/>
              <w:rPr>
                <w:rFonts w:hint="eastAsia"/>
              </w:rPr>
            </w:pPr>
            <w:r>
              <w:rPr>
                <w:rFonts w:ascii="Times New Roman" w:hAnsi="Times New Roman" w:eastAsia="宋体"/>
                <w:sz w:val="20"/>
              </w:rPr>
              <w:t>序列机制贡献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6A142F">
            <w:pPr>
              <w:keepNext/>
              <w:spacing w:after="40" w:line="276" w:lineRule="auto"/>
              <w:rPr>
                <w:rFonts w:hint="eastAsia"/>
              </w:rPr>
            </w:pPr>
            <w:r>
              <w:rPr>
                <w:rFonts w:ascii="Times New Roman" w:hAnsi="Times New Roman" w:eastAsia="宋体"/>
                <w:sz w:val="20"/>
              </w:rPr>
              <w:t>移除行为类型、时间偏置的差异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29546BC">
            <w:pPr>
              <w:keepNext/>
              <w:spacing w:after="40" w:line="276" w:lineRule="auto"/>
              <w:rPr>
                <w:rFonts w:hint="eastAsia"/>
              </w:rPr>
            </w:pPr>
            <w:r>
              <w:rPr>
                <w:rFonts w:ascii="Times New Roman" w:hAnsi="Times New Roman" w:eastAsia="宋体"/>
                <w:sz w:val="20"/>
              </w:rPr>
              <w:t>按历史长度分组，单列冷启动与稀疏用户</w:t>
            </w:r>
          </w:p>
        </w:tc>
      </w:tr>
      <w:tr w14:paraId="0386B26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350F16">
            <w:pPr>
              <w:keepNext/>
              <w:spacing w:after="40" w:line="276" w:lineRule="auto"/>
              <w:rPr>
                <w:rFonts w:hint="eastAsia"/>
              </w:rPr>
            </w:pPr>
            <w:r>
              <w:rPr>
                <w:rFonts w:ascii="Times New Roman" w:hAnsi="Times New Roman" w:eastAsia="宋体"/>
                <w:sz w:val="20"/>
              </w:rPr>
              <w:t>内容体验</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C9088DF">
            <w:pPr>
              <w:keepNext/>
              <w:spacing w:after="40" w:line="276" w:lineRule="auto"/>
              <w:rPr>
                <w:rFonts w:hint="eastAsia"/>
              </w:rPr>
            </w:pPr>
            <w:r>
              <w:rPr>
                <w:rFonts w:ascii="Times New Roman" w:hAnsi="Times New Roman" w:eastAsia="宋体"/>
                <w:sz w:val="20"/>
              </w:rPr>
              <w:t>有帮助反馈率、覆盖率、重复情况</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DFB099">
            <w:pPr>
              <w:keepNext/>
              <w:spacing w:after="40" w:line="276" w:lineRule="auto"/>
              <w:rPr>
                <w:rFonts w:hint="eastAsia"/>
              </w:rPr>
            </w:pPr>
            <w:r>
              <w:rPr>
                <w:rFonts w:ascii="Times New Roman" w:hAnsi="Times New Roman" w:eastAsia="宋体"/>
                <w:sz w:val="20"/>
              </w:rPr>
              <w:t>区分缺失与明确反馈，记录曝光条件</w:t>
            </w:r>
          </w:p>
        </w:tc>
      </w:tr>
      <w:tr w14:paraId="3C84242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76E492">
            <w:pPr>
              <w:spacing w:after="40" w:line="276" w:lineRule="auto"/>
              <w:rPr>
                <w:rFonts w:hint="eastAsia"/>
              </w:rPr>
            </w:pPr>
            <w:r>
              <w:rPr>
                <w:rFonts w:ascii="Times New Roman" w:hAnsi="Times New Roman" w:eastAsia="宋体"/>
                <w:sz w:val="20"/>
              </w:rPr>
              <w:t>部署成本</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92B95FF">
            <w:pPr>
              <w:spacing w:after="40" w:line="276" w:lineRule="auto"/>
              <w:rPr>
                <w:rFonts w:hint="eastAsia"/>
              </w:rPr>
            </w:pPr>
            <w:r>
              <w:rPr>
                <w:rFonts w:ascii="Times New Roman" w:hAnsi="Times New Roman" w:eastAsia="宋体"/>
                <w:sz w:val="20"/>
              </w:rPr>
              <w:t>P50、P95、吞吐、模型体积</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263321">
            <w:pPr>
              <w:spacing w:after="40" w:line="276" w:lineRule="auto"/>
              <w:rPr>
                <w:rFonts w:hint="eastAsia"/>
              </w:rPr>
            </w:pPr>
            <w:r>
              <w:rPr>
                <w:rFonts w:ascii="Times New Roman" w:hAnsi="Times New Roman" w:eastAsia="宋体"/>
                <w:sz w:val="20"/>
              </w:rPr>
              <w:t>注明硬件、并发、候选数量和模型版本</w:t>
            </w:r>
          </w:p>
        </w:tc>
      </w:tr>
    </w:tbl>
    <w:p w14:paraId="346B9142">
      <w:pPr>
        <w:ind w:firstLine="420"/>
        <w:rPr>
          <w:rFonts w:hint="eastAsia"/>
        </w:rPr>
      </w:pPr>
    </w:p>
    <w:p w14:paraId="1DB067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离线数据按时间划分训练、验证和测试，延迟反馈设置观察窗口。候选相关性标签来自明确反馈或独立人工标注，并说明曝光偏差；置信区间以用户为聚类单位统计。每日线上至多推荐一期，因此nDCG@5、Recall@5属于离线列表指标，线上每日推荐位的反馈率单独报告。</w:t>
      </w:r>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Hou 等的生成式推荐综述于2026年更新，按数据、模型和任务梳理相关方法，为本模块组织行为序列、候选内容和反馈任务提供近期研究参照。HSTU 的具体计算机制仍以 Zhai 等（2024）原论文为依据，项目的内容相关性与学习效果分别评价。</w:t>
      </w:r>
      <w:r>
        <w:rPr>
          <w:rFonts w:ascii="Times New Roman" w:hAnsi="Times New Roman"/>
          <w:sz w:val="18"/>
          <w:vertAlign w:val="superscript"/>
        </w:rPr>
        <w:t>[11,13]</w:t>
      </w:r>
    </w:p>
    <w:p>
      <w:pPr>
        <w:pStyle w:val="3"/>
        <w:bidi w:val="0"/>
        <w:rPr>
          <w:rFonts w:hint="default"/>
          <w:lang w:val="en-US" w:eastAsia="zh-CN"/>
        </w:rPr>
        <w:keepNext/>
      </w:pPr>
      <w:bookmarkStart w:id="279" w:name="_Toc242962124"/>
      <w:r>
        <w:rPr>
          <w:rFonts w:hint="default"/>
          <w:lang w:val="en-US" w:eastAsia="zh-CN"/>
        </w:rPr>
        <w:t xml:space="preserve">3.4 账户资料与后台支撑</w:t>
      </w:r>
      <w:bookmarkEnd w:id="279"/>
    </w:p>
    <w:p>
      <w:pPr>
        <w:pStyle w:val="4"/>
        <w:keepNext/>
      </w:pPr>
      <w:bookmarkStart w:id="280" w:name="_Toc242962125"/>
      <w:r>
        <w:t xml:space="preserve">3.4.1 注册登录与个人资料</w:t>
      </w:r>
      <w:bookmarkEnd w:id="280"/>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xml:space="preserve">账户模块为三大核心功能提供统一身份入口，完成注册、登录和新用户引导，并通过“我的”页面维护个人资料及相关设置。注册登录界面如下。</w:t>
      </w:r>
    </w:p>
    <w:p w14:paraId="320DE72D">
      <w:pPr>
        <w:numPr>
          <w:numId w:val="0"/>
        </w:numPr>
        <w:spacing w:before="100" w:after="20"/>
        <w:rPr>
          <w:rFonts w:hint="eastAsia" w:ascii="宋体" w:hAnsi="宋体" w:eastAsia="宋体"/>
          <w:b/>
          <w:sz w:val="23"/>
          <w:lang w:val="en-US" w:eastAsia="zh-CN"/>
        </w:rPr>
      </w:pPr>
      <w:r>
        <w:drawing>
          <wp:inline distT="0" distB="0" distL="114300" distR="114300">
            <wp:extent cx="5258435" cy="24307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58435" cy="2430780"/>
                    </a:xfrm>
                    <a:prstGeom prst="rect">
                      <a:avLst/>
                    </a:prstGeom>
                    <a:noFill/>
                    <a:ln>
                      <a:noFill/>
                    </a:ln>
                  </pic:spPr>
                </pic:pic>
              </a:graphicData>
            </a:graphic>
          </wp:inline>
        </w:drawing>
      </w:r>
    </w:p>
    <w:p w14:paraId="3FB9DB83">
      <w:pPr>
        <w:numPr>
          <w:ilvl w:val="0"/>
          <w:numId w:val="0"/>
        </w:numPr>
        <w:spacing w:before="100" w:after="20"/>
      </w:pPr>
      <w:r>
        <w:drawing>
          <wp:inline distT="0" distB="0" distL="114300" distR="114300">
            <wp:extent cx="5258435" cy="2430780"/>
            <wp:effectExtent l="0" t="0" r="8890" b="7620"/>
            <wp:docPr id="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9"/>
                    <a:stretch>
                      <a:fillRect/>
                    </a:stretch>
                  </pic:blipFill>
                  <pic:spPr>
                    <a:xfrm>
                      <a:off x="0" y="0"/>
                      <a:ext cx="5258435" cy="2430780"/>
                    </a:xfrm>
                    <a:prstGeom prst="rect">
                      <a:avLst/>
                    </a:prstGeom>
                    <a:noFill/>
                    <a:ln>
                      <a:noFill/>
                    </a:ln>
                  </pic:spPr>
                </pic:pic>
              </a:graphicData>
            </a:graphic>
          </wp:inline>
        </w:drawing>
      </w:r>
    </w:p>
    <w:p w14:paraId="157CA5B6">
      <w:pPr>
        <w:numPr>
          <w:ilvl w:val="0"/>
          <w:numId w:val="0"/>
        </w:numPr>
        <w:spacing w:before="100" w:after="20"/>
        <w:rPr>
          <w:rFonts w:hint="eastAsia"/>
          <w:lang w:val="en-US" w:eastAsia="zh-CN"/>
        </w:rPr>
      </w:pPr>
      <w:r>
        <w:drawing>
          <wp:inline distT="0" distB="0" distL="114300" distR="114300">
            <wp:extent cx="5258435" cy="2430780"/>
            <wp:effectExtent l="0" t="0" r="8890" b="7620"/>
            <wp:docPr id="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10"/>
                    <a:stretch>
                      <a:fillRect/>
                    </a:stretch>
                  </pic:blipFill>
                  <pic:spPr>
                    <a:xfrm>
                      <a:off x="0" y="0"/>
                      <a:ext cx="5258435" cy="2430780"/>
                    </a:xfrm>
                    <a:prstGeom prst="rect">
                      <a:avLst/>
                    </a:prstGeom>
                    <a:noFill/>
                    <a:ln>
                      <a:noFill/>
                    </a:ln>
                  </pic:spPr>
                </pic:pic>
              </a:graphicData>
            </a:graphic>
          </wp:inline>
        </w:drawing>
      </w:r>
    </w:p>
    <w:p w14:paraId="3A7E37B6">
      <w:pPr>
        <w:numPr>
          <w:ilvl w:val="0"/>
          <w:numId w:val="0"/>
        </w:numPr>
        <w:spacing w:before="100" w:after="20"/>
      </w:pPr>
      <w:r>
        <w:drawing>
          <wp:inline distT="0" distB="0" distL="114300" distR="114300">
            <wp:extent cx="5258435" cy="2430780"/>
            <wp:effectExtent l="0" t="0" r="8890" b="762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11"/>
                    <a:stretch>
                      <a:fillRect/>
                    </a:stretch>
                  </pic:blipFill>
                  <pic:spPr>
                    <a:xfrm>
                      <a:off x="0" y="0"/>
                      <a:ext cx="5258435" cy="2430780"/>
                    </a:xfrm>
                    <a:prstGeom prst="rect">
                      <a:avLst/>
                    </a:prstGeom>
                    <a:noFill/>
                    <a:ln>
                      <a:noFill/>
                    </a:ln>
                  </pic:spPr>
                </pic:pic>
              </a:graphicData>
            </a:graphic>
          </wp:inline>
        </w:drawing>
      </w:r>
    </w:p>
    <w:p>
      <w:pPr>
        <w:pStyle w:val="4"/>
        <w:keepNext/>
      </w:pPr>
      <w:bookmarkStart w:id="281" w:name="_Toc242962126"/>
      <w:r>
        <w:t xml:space="preserve">3.4.2 运营与后台管理</w:t>
      </w:r>
      <w:bookmarkEnd w:id="281"/>
    </w:p>
    <w:p w14:paraId="143D99E8">
      <w:pPr>
        <w:keepNext/>
        <w:spacing w:before="100" w:after="20"/>
      </w:pPr>
      <w:r>
        <w:rPr>
          <w:rFonts w:ascii="宋体" w:hAnsi="宋体" w:eastAsia="宋体"/>
          <w:b/>
          <w:sz w:val="23"/>
        </w:rPr>
        <w:t>（1）3D 球体导航中枢</w:t>
      </w:r>
    </w:p>
    <w:p w14:paraId="505B172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管理员登录后进入基于 Three.js 的线框三维球体界面，球面设置平台概览、用户管理、知识库、AI 教练四个功能节点，点击后进入对应功能页，如图3-3所示。</w:t>
      </w:r>
    </w:p>
    <w:p w14:paraId="32CC2F1D">
      <w:pPr>
        <w:spacing w:before="40" w:after="0"/>
        <w:jc w:val="center"/>
        <w:keepNext/>
      </w:pPr>
      <w:r>
        <w:drawing>
          <wp:inline distT="0" distB="0" distL="114300" distR="114300">
            <wp:extent cx="5255895" cy="3696970"/>
            <wp:effectExtent l="0" t="0" r="190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stretch>
                      <a:fillRect/>
                    </a:stretch>
                  </pic:blipFill>
                  <pic:spPr>
                    <a:xfrm>
                      <a:off x="0" y="0"/>
                      <a:ext cx="5256000" cy="3697200"/>
                    </a:xfrm>
                    <a:prstGeom prst="rect">
                      <a:avLst/>
                    </a:prstGeom>
                  </pic:spPr>
                </pic:pic>
              </a:graphicData>
            </a:graphic>
          </wp:inline>
        </w:drawing>
      </w:r>
    </w:p>
    <w:p w14:paraId="62817EB0">
      <w:pPr>
        <w:numPr>
          <w:ilvl w:val="0"/>
          <w:numId w:val="0"/>
        </w:numPr>
        <w:spacing w:line="360" w:lineRule="auto"/>
        <w:ind w:firstLine="361" w:firstLineChars="200"/>
        <w:jc w:val="center"/>
        <w:rPr>
          <w:rFonts w:hint="eastAsia" w:ascii="宋体" w:hAnsi="宋体" w:eastAsia="宋体" w:cs="宋体"/>
          <w:b/>
          <w:bCs/>
          <w:i w:val="0"/>
          <w:iCs w:val="0"/>
          <w:caps w:val="0"/>
          <w:color w:val="1C1F23"/>
          <w:spacing w:val="0"/>
          <w:sz w:val="18"/>
          <w:szCs w:val="18"/>
          <w:shd w:val="clear" w:fill="FFFFFF"/>
          <w:lang w:val="en-US" w:eastAsia="zh-CN"/>
        </w:rPr>
      </w:pPr>
      <w:r>
        <w:rPr>
          <w:rFonts w:hint="eastAsia" w:ascii="宋体" w:hAnsi="宋体" w:eastAsia="宋体" w:cs="宋体"/>
          <w:b/>
          <w:bCs/>
          <w:i w:val="0"/>
          <w:iCs w:val="0"/>
          <w:caps w:val="0"/>
          <w:color w:val="1C1F23"/>
          <w:spacing w:val="0"/>
          <w:sz w:val="18"/>
          <w:szCs w:val="18"/>
          <w:shd w:val="clear" w:fill="FFFFFF"/>
          <w:lang w:val="en-US" w:eastAsia="zh-CN"/>
        </w:rPr>
        <w:t>图3-3 3D 球体导航中枢</w:t>
      </w:r>
    </w:p>
    <w:p w14:paraId="4192A1B7">
      <w:pPr>
        <w:keepNext/>
        <w:spacing w:before="100" w:after="20"/>
      </w:pPr>
      <w:r>
        <w:rPr>
          <w:rFonts w:ascii="宋体" w:hAnsi="宋体" w:eastAsia="宋体"/>
          <w:b/>
          <w:sz w:val="23"/>
        </w:rPr>
        <w:t>（2）平台概览</w:t>
      </w:r>
    </w:p>
    <w:p w14:paraId="2306471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以数字卡片与图表展示注册用户数、增长趋势、消费分类与后悔率等运营指标，数据实时读取数据库，如图3-4所示。</w:t>
      </w:r>
    </w:p>
    <w:p w14:paraId="6DB7E7E8">
      <w:pPr>
        <w:spacing w:before="40" w:after="0"/>
        <w:jc w:val="center"/>
        <w:keepNext/>
      </w:pPr>
      <w:r>
        <w:drawing>
          <wp:inline distT="0" distB="0" distL="114300" distR="114300">
            <wp:extent cx="5361305" cy="20472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2"/>
                    <a:srcRect r="-10815" b="72919"/>
                    <a:stretch>
                      <a:fillRect/>
                    </a:stretch>
                  </pic:blipFill>
                  <pic:spPr>
                    <a:xfrm>
                      <a:off x="0" y="0"/>
                      <a:ext cx="5361305" cy="2047240"/>
                    </a:xfrm>
                    <a:prstGeom prst="rect">
                      <a:avLst/>
                    </a:prstGeom>
                  </pic:spPr>
                </pic:pic>
              </a:graphicData>
            </a:graphic>
          </wp:inline>
        </w:drawing>
      </w:r>
    </w:p>
    <w:p w14:paraId="46CFA86B">
      <w:pPr>
        <w:numPr>
          <w:ilvl w:val="0"/>
          <w:numId w:val="0"/>
        </w:numPr>
        <w:spacing w:line="360" w:lineRule="auto"/>
        <w:ind w:firstLine="361" w:firstLineChars="200"/>
        <w:jc w:val="center"/>
        <w:rPr>
          <w:rFonts w:hint="eastAsia" w:ascii="宋体" w:hAnsi="宋体" w:eastAsia="宋体" w:cs="宋体"/>
          <w:b/>
          <w:bCs/>
          <w:i w:val="0"/>
          <w:iCs w:val="0"/>
          <w:caps w:val="0"/>
          <w:color w:val="1C1F23"/>
          <w:spacing w:val="0"/>
          <w:sz w:val="18"/>
          <w:szCs w:val="18"/>
          <w:shd w:val="clear" w:fill="FFFFFF"/>
          <w:lang w:val="en-US" w:eastAsia="zh-CN"/>
        </w:rPr>
      </w:pPr>
      <w:r>
        <w:rPr>
          <w:rFonts w:hint="eastAsia" w:ascii="宋体" w:hAnsi="宋体" w:eastAsia="宋体" w:cs="宋体"/>
          <w:b/>
          <w:bCs/>
          <w:i w:val="0"/>
          <w:iCs w:val="0"/>
          <w:caps w:val="0"/>
          <w:color w:val="1C1F23"/>
          <w:spacing w:val="0"/>
          <w:sz w:val="18"/>
          <w:szCs w:val="18"/>
          <w:shd w:val="clear" w:fill="FFFFFF"/>
          <w:lang w:val="en-US" w:eastAsia="zh-CN"/>
        </w:rPr>
        <w:t>图3-4 平台概览</w:t>
      </w:r>
    </w:p>
    <w:p w14:paraId="14FAA0F4">
      <w:pPr>
        <w:keepNext/>
        <w:spacing w:before="100" w:after="20"/>
        <w:rPr>
          <w:rFonts w:ascii="宋体" w:hAnsi="宋体" w:eastAsia="宋体"/>
          <w:b/>
          <w:sz w:val="23"/>
        </w:rPr>
      </w:pPr>
    </w:p>
    <w:p w14:paraId="4D7ABEB0">
      <w:pPr>
        <w:keepNext/>
        <w:spacing w:before="100" w:after="20"/>
        <w:rPr>
          <w:rFonts w:ascii="宋体" w:hAnsi="宋体" w:eastAsia="宋体"/>
          <w:b/>
          <w:sz w:val="23"/>
        </w:rPr>
      </w:pPr>
    </w:p>
    <w:p w14:paraId="2D49850A">
      <w:pPr>
        <w:keepNext/>
        <w:spacing w:before="100" w:after="20"/>
        <w:rPr>
          <w:rFonts w:ascii="宋体" w:hAnsi="宋体" w:eastAsia="宋体"/>
          <w:b/>
          <w:sz w:val="23"/>
        </w:rPr>
      </w:pPr>
    </w:p>
    <w:p w14:paraId="53840C81">
      <w:pPr>
        <w:keepNext/>
        <w:spacing w:before="100" w:after="20"/>
      </w:pPr>
      <w:r>
        <w:rPr>
          <w:rFonts w:ascii="宋体" w:hAnsi="宋体" w:eastAsia="宋体"/>
          <w:b/>
          <w:sz w:val="23"/>
        </w:rPr>
        <w:t>（3）用户管理</w:t>
      </w:r>
    </w:p>
    <w:p w14:paraId="7305E53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支持按邮箱或昵称检索用户，查看其记账数量、评估得分与储蓄目标等详情，可执行停用、删除等操作，如图3-5所示。</w:t>
      </w:r>
    </w:p>
    <w:p w14:paraId="327FEB57">
      <w:pPr>
        <w:spacing w:before="40" w:after="0"/>
        <w:jc w:val="center"/>
        <w:keepNext/>
      </w:pPr>
      <w:r>
        <w:drawing>
          <wp:inline distT="0" distB="0" distL="114300" distR="114300">
            <wp:extent cx="5255895" cy="3696970"/>
            <wp:effectExtent l="0" t="0" r="190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3"/>
                    <a:stretch>
                      <a:fillRect/>
                    </a:stretch>
                  </pic:blipFill>
                  <pic:spPr>
                    <a:xfrm>
                      <a:off x="0" y="0"/>
                      <a:ext cx="5256000" cy="3697200"/>
                    </a:xfrm>
                    <a:prstGeom prst="rect">
                      <a:avLst/>
                    </a:prstGeom>
                  </pic:spPr>
                </pic:pic>
              </a:graphicData>
            </a:graphic>
          </wp:inline>
        </w:drawing>
      </w:r>
    </w:p>
    <w:p w14:paraId="79FE3D66">
      <w:pPr>
        <w:numPr>
          <w:ilvl w:val="0"/>
          <w:numId w:val="0"/>
        </w:numPr>
        <w:spacing w:line="360" w:lineRule="auto"/>
        <w:ind w:firstLine="361" w:firstLineChars="200"/>
        <w:jc w:val="center"/>
        <w:rPr>
          <w:rFonts w:hint="eastAsia" w:ascii="宋体" w:hAnsi="宋体" w:eastAsia="宋体" w:cs="宋体"/>
          <w:b/>
          <w:bCs/>
          <w:i w:val="0"/>
          <w:iCs w:val="0"/>
          <w:caps w:val="0"/>
          <w:color w:val="1C1F23"/>
          <w:spacing w:val="0"/>
          <w:sz w:val="18"/>
          <w:szCs w:val="18"/>
          <w:shd w:val="clear" w:fill="FFFFFF"/>
          <w:lang w:val="en-US" w:eastAsia="zh-CN"/>
        </w:rPr>
      </w:pPr>
      <w:r>
        <w:rPr>
          <w:rFonts w:hint="eastAsia" w:ascii="宋体" w:hAnsi="宋体" w:eastAsia="宋体" w:cs="宋体"/>
          <w:b/>
          <w:bCs/>
          <w:i w:val="0"/>
          <w:iCs w:val="0"/>
          <w:caps w:val="0"/>
          <w:color w:val="1C1F23"/>
          <w:spacing w:val="0"/>
          <w:sz w:val="18"/>
          <w:szCs w:val="18"/>
          <w:shd w:val="clear" w:fill="FFFFFF"/>
          <w:lang w:val="en-US" w:eastAsia="zh-CN"/>
        </w:rPr>
        <w:t>图3-5 用户管理</w:t>
      </w:r>
    </w:p>
    <w:p w14:paraId="640EB7DA">
      <w:pPr>
        <w:keepNext/>
        <w:spacing w:before="100" w:after="20"/>
      </w:pPr>
      <w:r>
        <w:rPr>
          <w:rFonts w:ascii="宋体" w:hAnsi="宋体" w:eastAsia="宋体"/>
          <w:b/>
          <w:sz w:val="23"/>
        </w:rPr>
        <w:t>（4）知识库管理</w:t>
      </w:r>
    </w:p>
    <w:p w14:paraId="0703825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维护用户端展示的理财文章，支持新增、编辑、删除，保存后即时对用户端生效。知识库按生活费与预算、储蓄与目标、理性消费、信用与借贷、投资基础、反诈与信息保护六类主题组织文章，当前共收录六篇理财科普短文。管理员在列表页可直接查看每篇文章的标题、分类、标签与发布时间，随时修改正文或下线过期内容；新增文章时填写标题、分类、标签与正文即可发布，列表右上角提供刷新与快速新增入口，方便运营人员核对内容口径与更新频率。文章更新后用户端知识库自动同步，无需重新发布，如图3-6所示。</w:t>
      </w:r>
    </w:p>
    <w:p w14:paraId="465AFEB4">
      <w:pPr>
        <w:spacing w:before="40" w:after="0"/>
        <w:jc w:val="center"/>
        <w:keepNext/>
      </w:pPr>
      <w:r>
        <w:drawing>
          <wp:inline distT="0" distB="0" distL="114300" distR="114300">
            <wp:extent cx="5344795" cy="20224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4"/>
                    <a:srcRect r="-1691" b="50758"/>
                    <a:stretch>
                      <a:fillRect/>
                    </a:stretch>
                  </pic:blipFill>
                  <pic:spPr>
                    <a:xfrm>
                      <a:off x="0" y="0"/>
                      <a:ext cx="5344795" cy="2022475"/>
                    </a:xfrm>
                    <a:prstGeom prst="rect">
                      <a:avLst/>
                    </a:prstGeom>
                  </pic:spPr>
                </pic:pic>
              </a:graphicData>
            </a:graphic>
          </wp:inline>
        </w:drawing>
      </w:r>
    </w:p>
    <w:p w14:paraId="1C0D6B23">
      <w:pPr>
        <w:numPr>
          <w:ilvl w:val="0"/>
          <w:numId w:val="0"/>
        </w:numPr>
        <w:spacing w:line="360" w:lineRule="auto"/>
        <w:ind w:firstLine="361" w:firstLineChars="200"/>
        <w:jc w:val="center"/>
        <w:rPr>
          <w:rFonts w:hint="eastAsia" w:ascii="宋体" w:hAnsi="宋体" w:eastAsia="宋体" w:cs="宋体"/>
          <w:b/>
          <w:bCs/>
          <w:i w:val="0"/>
          <w:iCs w:val="0"/>
          <w:caps w:val="0"/>
          <w:color w:val="1C1F23"/>
          <w:spacing w:val="0"/>
          <w:sz w:val="18"/>
          <w:szCs w:val="18"/>
          <w:shd w:val="clear" w:fill="FFFFFF"/>
          <w:lang w:val="en-US" w:eastAsia="zh-CN"/>
        </w:rPr>
      </w:pPr>
      <w:r>
        <w:rPr>
          <w:rFonts w:hint="eastAsia" w:ascii="宋体" w:hAnsi="宋体" w:eastAsia="宋体" w:cs="宋体"/>
          <w:b/>
          <w:bCs/>
          <w:i w:val="0"/>
          <w:iCs w:val="0"/>
          <w:caps w:val="0"/>
          <w:color w:val="1C1F23"/>
          <w:spacing w:val="0"/>
          <w:sz w:val="18"/>
          <w:szCs w:val="18"/>
          <w:shd w:val="clear" w:fill="FFFFFF"/>
          <w:lang w:val="en-US" w:eastAsia="zh-CN"/>
        </w:rPr>
        <w:t>图3-6 知识库管理</w:t>
      </w:r>
    </w:p>
    <w:p w14:paraId="12B61A3B">
      <w:pPr>
        <w:keepNext/>
        <w:spacing w:before="100" w:after="20"/>
      </w:pPr>
      <w:r>
        <w:rPr>
          <w:rFonts w:ascii="宋体" w:hAnsi="宋体" w:eastAsia="宋体"/>
          <w:b/>
          <w:sz w:val="23"/>
        </w:rPr>
        <w:t>（5）AI 教练配置</w:t>
      </w:r>
    </w:p>
    <w:p w14:paraId="793DF42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提供温柔陪伴、理性犀利、严格目标三种人设模板，每种人设内置一套语气与引导风格，管理员可查看三套模板的参数差异，也可手动编辑提示词并调整知识检索范围，让教练的回答风格适配不同用户。三套人设面向不同使用场景：温柔陪伴侧重情绪安抚与正向鼓励，理性犀利侧重数据化分析与直接纠偏，严格目标侧重进度盯防与量化复盘；管理员在配置页可为每套人设单独维护角色描述与系统提示词，选择该教练纳入检索的知识库范围，并控制回答的严谨程度与话术温度。所有修改实时写入配置中心，用户端下次对话即按新配置生效，无需重启服务或重新发布，如图3-7所示。</w:t>
      </w:r>
    </w:p>
    <w:p w14:paraId="24EDC510">
      <w:pPr>
        <w:spacing w:before="40" w:after="0"/>
        <w:jc w:val="center"/>
        <w:keepNext/>
      </w:pPr>
      <w:r>
        <w:drawing>
          <wp:inline distT="0" distB="0" distL="114300" distR="114300">
            <wp:extent cx="5255895" cy="5338445"/>
            <wp:effectExtent l="0" t="0" r="190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5"/>
                    <a:stretch>
                      <a:fillRect/>
                    </a:stretch>
                  </pic:blipFill>
                  <pic:spPr>
                    <a:xfrm>
                      <a:off x="0" y="0"/>
                      <a:ext cx="5256000" cy="5338800"/>
                    </a:xfrm>
                    <a:prstGeom prst="rect">
                      <a:avLst/>
                    </a:prstGeom>
                  </pic:spPr>
                </pic:pic>
              </a:graphicData>
            </a:graphic>
          </wp:inline>
        </w:drawing>
      </w:r>
    </w:p>
    <w:p w14:paraId="75CCD8A2">
      <w:pPr>
        <w:numPr>
          <w:ilvl w:val="0"/>
          <w:numId w:val="0"/>
        </w:numPr>
        <w:spacing w:line="360" w:lineRule="auto"/>
        <w:ind w:firstLine="361" w:firstLineChars="200"/>
        <w:jc w:val="center"/>
        <w:rPr>
          <w:rFonts w:hint="eastAsia" w:ascii="宋体" w:hAnsi="宋体" w:eastAsia="宋体" w:cs="宋体"/>
          <w:b/>
          <w:bCs/>
          <w:i w:val="0"/>
          <w:iCs w:val="0"/>
          <w:caps w:val="0"/>
          <w:color w:val="1C1F23"/>
          <w:spacing w:val="0"/>
          <w:sz w:val="18"/>
          <w:szCs w:val="18"/>
          <w:shd w:val="clear" w:fill="FFFFFF"/>
          <w:lang w:val="en-US" w:eastAsia="zh-CN"/>
        </w:rPr>
      </w:pPr>
      <w:r>
        <w:rPr>
          <w:rFonts w:hint="eastAsia" w:ascii="宋体" w:hAnsi="宋体" w:eastAsia="宋体" w:cs="宋体"/>
          <w:b/>
          <w:bCs/>
          <w:i w:val="0"/>
          <w:iCs w:val="0"/>
          <w:caps w:val="0"/>
          <w:color w:val="1C1F23"/>
          <w:spacing w:val="0"/>
          <w:sz w:val="18"/>
          <w:szCs w:val="18"/>
          <w:shd w:val="clear" w:fill="FFFFFF"/>
          <w:lang w:val="en-US" w:eastAsia="zh-CN"/>
        </w:rPr>
        <w:t>图3-7 AI 教练配置</w:t>
      </w:r>
    </w:p>
    <w:p>
      <w:pPr>
        <w:pStyle w:val="3"/>
        <w:bidi w:val="0"/>
        <w:rPr>
          <w:rFonts w:hint="default"/>
          <w:lang w:val="en-US" w:eastAsia="zh-CN"/>
        </w:rPr>
        <w:keepNext/>
      </w:pPr>
      <w:bookmarkStart w:id="282" w:name="_Toc242962127"/>
      <w:r>
        <w:rPr>
          <w:rFonts w:hint="default"/>
          <w:lang w:val="en-US" w:eastAsia="zh-CN"/>
        </w:rPr>
        <w:t xml:space="preserve">3.5 核心创新点</w:t>
      </w:r>
      <w:bookmarkEnd w:id="282"/>
    </w:p>
    <w:p w14:paraId="6863A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青盈的核心创新，是把传统记账工具 "事后看流水" 的定位，升级为消费决策前置的财务辅助。落点有三：其一，跨学科机制的可计算转化—— 将行为经济学的支付痛感、机会成本等理论转化为可感知的量化财务后果，如把一笔支出换算成 "等价结余天数" 并关联资金目标，让用户在消费发生的当下看见代价，而不是月末回看账单；其二，工具与 AI 的 "数值事实 + 概念解释" 协同—— 由程序给出精确、可复核的数值事实，由大模型解释概念与适用条件，二者分工既规避了 AI 幻觉，又引导用户自己形成消费理由，而非被动接受说教；其三，以序列推荐 (HSTU) 驱动的个性化情境学习—— 基于个人历史交互与财务情境精排推荐内容，结果可追溯、随反馈持续更新，把财商学习嵌入真实的消费决策场景，最终指向知识理解、财务规划意识与独立运用能力三者的渐进养成，如图3-8所示。</w:t>
      </w:r>
    </w:p>
    <w:p w14:paraId="0DA4878E">
      <w:pPr>
        <w:rPr>
          <w:rFonts w:hint="eastAsia" w:eastAsiaTheme="minorEastAsia"/>
          <w:lang w:eastAsia="zh-CN"/>
        </w:rPr>
        <w:keepNext/>
      </w:pPr>
      <w:r>
        <w:rPr>
          <w:rFonts w:hint="eastAsia" w:eastAsiaTheme="minorEastAsia"/>
          <w:lang w:eastAsia="zh-CN"/>
        </w:rPr>
        <w:drawing>
          <wp:inline distT="0" distB="0" distL="114300" distR="114300">
            <wp:extent cx="5276215" cy="3517265"/>
            <wp:effectExtent l="0" t="0" r="635" b="6985"/>
            <wp:docPr id="8" name="图片 8" descr="图5_跨学科创新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5_跨学科创新机制"/>
                    <pic:cNvPicPr>
                      <a:picLocks noChangeAspect="1"/>
                    </pic:cNvPicPr>
                  </pic:nvPicPr>
                  <pic:blipFill>
                    <a:blip r:embed="rId58"/>
                    <a:stretch>
                      <a:fillRect/>
                    </a:stretch>
                  </pic:blipFill>
                  <pic:spPr>
                    <a:xfrm>
                      <a:off x="0" y="0"/>
                      <a:ext cx="5276215" cy="3517265"/>
                    </a:xfrm>
                    <a:prstGeom prst="rect">
                      <a:avLst/>
                    </a:prstGeom>
                  </pic:spPr>
                </pic:pic>
              </a:graphicData>
            </a:graphic>
          </wp:inline>
        </w:drawing>
      </w:r>
    </w:p>
    <w:p w14:paraId="70B980B6">
      <w:pPr>
        <w:jc w:val="center"/>
        <w:rPr>
          <w:rFonts w:hint="default" w:eastAsiaTheme="minorEastAsia"/>
          <w:lang w:val="en-US" w:eastAsia="zh-CN"/>
        </w:rPr>
      </w:pPr>
      <w:r>
        <w:rPr>
          <w:rFonts w:hint="eastAsia"/>
          <w:b/>
          <w:bCs/>
          <w:sz w:val="18"/>
          <w:szCs w:val="18"/>
          <w:lang w:val="en-US" w:eastAsia="zh-CN"/>
        </w:rPr>
        <w:t>图3-8 跨学科创新机制图</w:t>
      </w:r>
    </w:p>
    <w:p w14:paraId="24FBDC14">
      <w:pPr>
        <w:pStyle w:val="4"/>
        <w:keepLines w:val="0"/>
        <w:widowControl/>
        <w:suppressLineNumbers w:val="0"/>
        <w:keepNext/>
      </w:pPr>
      <w:bookmarkStart w:id="283" w:name="_Toc242962128"/>
      <w:r>
        <w:t>3.5.1 行为经济学理论的可计算转化</w:t>
      </w:r>
      <w:bookmarkEnd w:id="283"/>
    </w:p>
    <w:p w14:paraId="32361F2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借鉴机会成本与预算约束的分析思路，以用户真实收支记录为基础，设计消费等价结余天数指标。在估算月结余为正时，按每月30天折算日均结余，并以消费金额除以日均结余，表示在结余水平保持不变的假设下，积累同等金额结余所需的时间。该指标作为理解支出与资金积累关系的量化参照，并结合替代用途、未来开支和阶段性目标辅助分析，帮助用户建立预算意识与长期规划意识，如图3-9所示。</w:t>
      </w:r>
    </w:p>
    <w:p w14:paraId="111E6E3C">
      <w:pPr>
        <w:numPr>
          <w:ilvl w:val="0"/>
          <w:numId w:val="0"/>
        </w:numPr>
        <w:spacing w:line="360" w:lineRule="auto"/>
        <w:keepNext/>
      </w:pPr>
      <w:r>
        <w:drawing>
          <wp:inline distT="0" distB="0" distL="114300" distR="114300">
            <wp:extent cx="5258435" cy="2430780"/>
            <wp:effectExtent l="0" t="0" r="889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9"/>
                    <a:stretch>
                      <a:fillRect/>
                    </a:stretch>
                  </pic:blipFill>
                  <pic:spPr>
                    <a:xfrm>
                      <a:off x="0" y="0"/>
                      <a:ext cx="5258435" cy="2430780"/>
                    </a:xfrm>
                    <a:prstGeom prst="rect">
                      <a:avLst/>
                    </a:prstGeom>
                    <a:noFill/>
                    <a:ln>
                      <a:noFill/>
                    </a:ln>
                  </pic:spPr>
                </pic:pic>
              </a:graphicData>
            </a:graphic>
          </wp:inline>
        </w:drawing>
      </w:r>
    </w:p>
    <w:p w14:paraId="6359ABF6">
      <w:pPr>
        <w:jc w:val="center"/>
        <w:rPr>
          <w:rFonts w:hint="default"/>
          <w:b/>
          <w:bCs/>
          <w:sz w:val="18"/>
          <w:szCs w:val="18"/>
          <w:lang w:val="en-US" w:eastAsia="zh-CN"/>
        </w:rPr>
      </w:pPr>
      <w:r>
        <w:rPr>
          <w:rFonts w:hint="eastAsia"/>
          <w:b/>
          <w:bCs/>
          <w:sz w:val="18"/>
          <w:szCs w:val="18"/>
          <w:lang w:val="en-US" w:eastAsia="zh-CN"/>
        </w:rPr>
        <w:t>图3-9 消费等价结余天数图</w:t>
      </w:r>
    </w:p>
    <w:p w14:paraId="5F6E8C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支付痛感理论为成本感知设计提供行为经济学视角，系统通过计算说明、消费回访和复盘连接事前判断与事后体验。创新落点在于将学科概念转化为可运行、可校验的工具，为金融素养培养提供日常实践载体，如图3-10所示。</w:t>
      </w:r>
      <w:r>
        <w:rPr>
          <w:rFonts w:ascii="Times New Roman" w:hAnsi="Times New Roman"/>
          <w:sz w:val="18"/>
          <w:vertAlign w:val="superscript"/>
        </w:rPr>
        <w:t>[3-4]</w:t>
      </w:r>
    </w:p>
    <w:p w14:paraId="1CC7ED34">
      <w:pPr>
        <w:numPr>
          <w:ilvl w:val="0"/>
          <w:numId w:val="0"/>
        </w:numPr>
        <w:spacing w:line="360" w:lineRule="auto"/>
        <w:keepNext/>
      </w:pPr>
      <w:r>
        <w:drawing>
          <wp:inline distT="0" distB="0" distL="114300" distR="114300">
            <wp:extent cx="5258435" cy="2430780"/>
            <wp:effectExtent l="0" t="0" r="889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0"/>
                    <a:stretch>
                      <a:fillRect/>
                    </a:stretch>
                  </pic:blipFill>
                  <pic:spPr>
                    <a:xfrm>
                      <a:off x="0" y="0"/>
                      <a:ext cx="5258435" cy="2430780"/>
                    </a:xfrm>
                    <a:prstGeom prst="rect">
                      <a:avLst/>
                    </a:prstGeom>
                    <a:noFill/>
                    <a:ln>
                      <a:noFill/>
                    </a:ln>
                  </pic:spPr>
                </pic:pic>
              </a:graphicData>
            </a:graphic>
          </wp:inline>
        </w:drawing>
      </w:r>
    </w:p>
    <w:p w14:paraId="4D60818D">
      <w:pPr>
        <w:jc w:val="center"/>
        <w:rPr>
          <w:rFonts w:hint="default" w:eastAsiaTheme="minorEastAsia"/>
          <w:lang w:val="en-US" w:eastAsia="zh-CN"/>
        </w:rPr>
      </w:pPr>
      <w:r>
        <w:rPr>
          <w:rFonts w:hint="eastAsia"/>
          <w:b/>
          <w:bCs/>
          <w:sz w:val="18"/>
          <w:szCs w:val="18"/>
          <w:lang w:val="en-US" w:eastAsia="zh-CN"/>
        </w:rPr>
        <w:t>图3-10 消费回访模块图</w:t>
      </w:r>
    </w:p>
    <w:p w14:paraId="20EDEEA5">
      <w:pPr>
        <w:pStyle w:val="4"/>
        <w:keepLines w:val="0"/>
        <w:widowControl/>
        <w:suppressLineNumbers w:val="0"/>
        <w:keepNext/>
      </w:pPr>
      <w:bookmarkStart w:id="284" w:name="_Toc242962129"/>
      <w:r>
        <w:t>3.5.2 金融知识与财务工具协同的 AI 教练</w:t>
      </w:r>
      <w:bookmarkEnd w:id="284"/>
    </w:p>
    <w:p w14:paraId="45BB3A2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金融知识检索、确定性财务工具和大模型解释组合成同一教练流程：知识片段提供概念依据，计算工具提供个人数值事实，模型结合用户问题组织解释和适量提示，并通过依据展示与回复检查提高可追溯性。</w:t>
      </w:r>
    </w:p>
    <w:p w14:paraId="2188DFF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机制使预算、机会成本、资金预留和风险等概念能够与用户实际问题相联系。用户既能了解计算结论，也能理解其假设与适用条件，并在需要时学习判断过程。其创新价值体现为人工智能、财务分析与情境化学习方法在金融素养培养中的具体整合。</w:t>
      </w:r>
    </w:p>
    <w:p w14:paraId="6081AEE6">
      <w:pPr>
        <w:pStyle w:val="4"/>
        <w:keepLines w:val="0"/>
        <w:widowControl/>
        <w:suppressLineNumbers w:val="0"/>
        <w:keepNext/>
      </w:pPr>
      <w:bookmarkStart w:id="285" w:name="_Toc242962130"/>
      <w:r>
        <w:t>3.5.3 融合财务情境与学习需求的个性化推荐</w:t>
      </w:r>
      <w:bookmarkEnd w:id="285"/>
    </w:p>
    <w:p w14:paraId="7643181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 HSTU 序列推荐方法引入青年金融素养内容选择，使历史行为、当前财务情境与学习需求共同参与推荐。历史反馈反映用户此前关注的内容，财务快照反映当前可确认的资金安排，明确选择的学习主题则反映用户希望了解的方向。</w:t>
      </w:r>
    </w:p>
    <w:p w14:paraId="7F5192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设计将“过去关注什么”与“当前面临什么财务问题”联系起来。例如，近期需要预留必要开支和正在筹集储蓄目标的用户，可形成不同的候选主题，再由模型结合行为顺序、时间信息与反馈比较相关单集，为持续学习提供贴近需求的内容入口。</w:t>
      </w:r>
    </w:p>
    <w:p w14:paraId="7220D7FB">
      <w:pPr>
        <w:numPr>
          <w:ilvl w:val="0"/>
          <w:numId w:val="0"/>
        </w:numPr>
        <w:spacing w:line="360" w:lineRule="auto"/>
        <w:ind w:firstLine="420" w:firstLineChars="20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跨学科创新还体现在财务事实与偏好预测的职责划分：真实金额、资金缺口和目标状态由程序提供，HSTU 用于内容匹配，业务规则保证内容资格与推荐结果可追溯。项目的研究重点是既有算法在金融素养场景下的适配、工程整合和效果验证，推荐相关性与金融素养培养效果分别评价。</w:t>
      </w:r>
    </w:p>
    <w:p w14:paraId="4DF14D2B">
      <w:pPr>
        <w:pStyle w:val="2"/>
        <w:bidi w:val="0"/>
        <w:rPr>
          <w:rFonts w:hint="default"/>
        </w:rPr>
      </w:pPr>
      <w:bookmarkStart w:id="286" w:name="_Toc242962131"/>
      <w:r>
        <w:rPr>
          <w:rFonts w:hint="default"/>
        </w:rPr>
        <w:t>测试报告</w:t>
      </w:r>
      <w:bookmarkEnd w:id="286"/>
    </w:p>
    <w:p w14:paraId="17C4DEDB">
      <w:pPr>
        <w:pStyle w:val="3"/>
        <w:rPr>
          <w:rFonts w:hint="default"/>
        </w:rPr>
      </w:pPr>
      <w:bookmarkStart w:id="288" w:name="_Toc242962132"/>
      <w:bookmarkStart w:id="287" w:name="_Toc242910602"/>
      <w:r>
        <w:t>4.1 测试概述</w:t>
      </w:r>
      <w:bookmarkEnd w:id="287"/>
      <w:bookmarkEnd w:id="288"/>
    </w:p>
    <w:p w14:paraId="76A6338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试按计算正确性、业务流程、算法效果和教育效果四层开展。当前工程复核使用合成账户、账单与隔离存储，检查正常路径、异常输入、账户隔离、资金同步及推荐回退。模型相关接口使用模拟响应时，仅验证接口契约和业务行为，不据此认定真实HSTU排序或大模型回答质量已达标。</w:t>
      </w:r>
    </w:p>
    <w:p w14:paraId="61129B5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本章工程测试日期为2026年10月14日。已有业务回归与升级算法效果评价分别记录，历史基线结果不移作升级算法的成绩；金融素养培养效果采用4.5节的校园研究方案单独验证。</w:t>
      </w:r>
    </w:p>
    <w:p w14:paraId="21DDB9AA">
      <w:pPr>
        <w:pStyle w:val="3"/>
        <w:rPr>
          <w:rFonts w:hint="default"/>
        </w:rPr>
      </w:pPr>
      <w:bookmarkStart w:id="290" w:name="_Toc242962133"/>
      <w:bookmarkStart w:id="289" w:name="_Toc242910603"/>
      <w:r>
        <w:t>4.2 测试环境</w:t>
      </w:r>
      <w:bookmarkEnd w:id="289"/>
      <w:bookmarkEnd w:id="290"/>
    </w:p>
    <w:p w14:paraId="5228618F">
      <w:pPr>
        <w:pStyle w:val="7"/>
        <w:keepNext/>
        <w:jc w:val="center"/>
      </w:pPr>
      <w:r>
        <w:t>表4-1 本地复核环境</w:t>
      </w:r>
    </w:p>
    <w:tbl>
      <w:tblPr>
        <w:tblStyle w:val="19"/>
        <w:tblW w:w="0" w:type="auto"/>
        <w:jc w:val="center"/>
        <w:tblLayout w:type="fixed"/>
        <w:tblCellMar>
          <w:top w:w="0" w:type="dxa"/>
          <w:left w:w="108" w:type="dxa"/>
          <w:bottom w:w="0" w:type="dxa"/>
          <w:right w:w="108" w:type="dxa"/>
        </w:tblCellMar>
      </w:tblPr>
      <w:tblGrid>
        <w:gridCol w:w="2268"/>
        <w:gridCol w:w="6973"/>
      </w:tblGrid>
      <w:tr w14:paraId="277B34F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2338AA1">
            <w:pPr>
              <w:keepNext/>
              <w:spacing w:after="40" w:line="276" w:lineRule="auto"/>
              <w:rPr>
                <w:rFonts w:hint="eastAsia"/>
              </w:rPr>
            </w:pPr>
            <w:r>
              <w:rPr>
                <w:rFonts w:ascii="Times New Roman" w:hAnsi="Times New Roman" w:eastAsia="宋体"/>
                <w:b/>
                <w:sz w:val="20"/>
              </w:rPr>
              <w:t>项目</w:t>
            </w:r>
          </w:p>
        </w:tc>
        <w:tc>
          <w:tcPr>
            <w:tcW w:w="697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E5A40F8">
            <w:pPr>
              <w:keepNext/>
              <w:spacing w:after="40" w:line="276" w:lineRule="auto"/>
              <w:rPr>
                <w:rFonts w:hint="eastAsia"/>
              </w:rPr>
            </w:pPr>
            <w:r>
              <w:rPr>
                <w:rFonts w:ascii="Times New Roman" w:hAnsi="Times New Roman" w:eastAsia="宋体"/>
                <w:b/>
                <w:sz w:val="20"/>
              </w:rPr>
              <w:t>配置与条件</w:t>
            </w:r>
          </w:p>
        </w:tc>
      </w:tr>
      <w:tr w14:paraId="07069EB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CAB135D">
            <w:pPr>
              <w:keepNext/>
              <w:spacing w:after="40" w:line="276" w:lineRule="auto"/>
              <w:rPr>
                <w:rFonts w:hint="eastAsia"/>
              </w:rPr>
            </w:pPr>
            <w:r>
              <w:rPr>
                <w:rFonts w:ascii="Times New Roman" w:hAnsi="Times New Roman" w:eastAsia="宋体"/>
                <w:sz w:val="20"/>
              </w:rPr>
              <w:t>操作与硬件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129C66">
            <w:pPr>
              <w:keepNext/>
              <w:spacing w:after="40" w:line="276" w:lineRule="auto"/>
              <w:rPr>
                <w:rFonts w:hint="eastAsia"/>
              </w:rPr>
            </w:pPr>
            <w:r>
              <w:rPr>
                <w:rFonts w:ascii="Times New Roman" w:hAnsi="Times New Roman" w:eastAsia="宋体"/>
                <w:sz w:val="20"/>
              </w:rPr>
              <w:t>Windows开发环境；AMD Ryzen 9 7940H处理器</w:t>
            </w:r>
          </w:p>
        </w:tc>
      </w:tr>
      <w:tr w14:paraId="4503BBB2">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403AC06">
            <w:pPr>
              <w:keepNext/>
              <w:spacing w:after="40" w:line="276" w:lineRule="auto"/>
              <w:rPr>
                <w:rFonts w:hint="eastAsia"/>
              </w:rPr>
            </w:pPr>
            <w:r>
              <w:rPr>
                <w:rFonts w:ascii="Times New Roman" w:hAnsi="Times New Roman" w:eastAsia="宋体"/>
                <w:sz w:val="20"/>
              </w:rPr>
              <w:t>后端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EB17FB">
            <w:pPr>
              <w:keepNext/>
              <w:spacing w:after="40" w:line="276" w:lineRule="auto"/>
              <w:rPr>
                <w:rFonts w:hint="eastAsia"/>
              </w:rPr>
            </w:pPr>
            <w:r>
              <w:rPr>
                <w:rFonts w:ascii="Times New Roman" w:hAnsi="Times New Roman" w:eastAsia="宋体"/>
                <w:sz w:val="20"/>
              </w:rPr>
              <w:t>Python 3.14.6；Flask；pytest，使用项目现有隔离环境</w:t>
            </w:r>
          </w:p>
        </w:tc>
      </w:tr>
      <w:tr w14:paraId="3771A94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446864">
            <w:pPr>
              <w:keepNext/>
              <w:spacing w:after="40" w:line="276" w:lineRule="auto"/>
              <w:rPr>
                <w:rFonts w:hint="eastAsia"/>
              </w:rPr>
            </w:pPr>
            <w:r>
              <w:rPr>
                <w:rFonts w:ascii="Times New Roman" w:hAnsi="Times New Roman" w:eastAsia="宋体"/>
                <w:sz w:val="20"/>
              </w:rPr>
              <w:t>前端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59E2B">
            <w:pPr>
              <w:keepNext/>
              <w:spacing w:after="40" w:line="276" w:lineRule="auto"/>
              <w:rPr>
                <w:rFonts w:hint="eastAsia"/>
              </w:rPr>
            </w:pPr>
            <w:r>
              <w:rPr>
                <w:rFonts w:ascii="Times New Roman" w:hAnsi="Times New Roman" w:eastAsia="宋体"/>
                <w:sz w:val="20"/>
              </w:rPr>
              <w:t>React 18；Node.js 24.19.0；Jest与React Testing Library</w:t>
            </w:r>
          </w:p>
        </w:tc>
      </w:tr>
      <w:tr w14:paraId="22CDBCC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787BA3">
            <w:pPr>
              <w:keepNext/>
              <w:spacing w:after="40" w:line="276" w:lineRule="auto"/>
              <w:rPr>
                <w:rFonts w:hint="eastAsia"/>
              </w:rPr>
            </w:pPr>
            <w:r>
              <w:rPr>
                <w:rFonts w:ascii="Times New Roman" w:hAnsi="Times New Roman" w:eastAsia="宋体"/>
                <w:sz w:val="20"/>
              </w:rPr>
              <w:t>测试存储</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2BEA71">
            <w:pPr>
              <w:keepNext/>
              <w:spacing w:after="40" w:line="276" w:lineRule="auto"/>
              <w:rPr>
                <w:rFonts w:hint="eastAsia"/>
              </w:rPr>
            </w:pPr>
            <w:r>
              <w:rPr>
                <w:rFonts w:ascii="Times New Roman" w:hAnsi="Times New Roman" w:eastAsia="宋体"/>
                <w:sz w:val="20"/>
              </w:rPr>
              <w:t>临时JSON与SQLite测试库，使用合成数据及测试账户</w:t>
            </w:r>
          </w:p>
        </w:tc>
      </w:tr>
      <w:tr w14:paraId="48956BE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D0F6D0">
            <w:pPr>
              <w:keepNext/>
              <w:spacing w:after="40" w:line="276" w:lineRule="auto"/>
              <w:rPr>
                <w:rFonts w:hint="eastAsia"/>
              </w:rPr>
            </w:pPr>
            <w:r>
              <w:rPr>
                <w:rFonts w:ascii="Times New Roman" w:hAnsi="Times New Roman" w:eastAsia="宋体"/>
                <w:sz w:val="20"/>
              </w:rPr>
              <w:t>外部依赖</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0996A71">
            <w:pPr>
              <w:keepNext/>
              <w:spacing w:after="40" w:line="276" w:lineRule="auto"/>
              <w:rPr>
                <w:rFonts w:hint="eastAsia"/>
              </w:rPr>
            </w:pPr>
            <w:r>
              <w:rPr>
                <w:rFonts w:ascii="Times New Roman" w:hAnsi="Times New Roman" w:eastAsia="宋体"/>
                <w:sz w:val="20"/>
              </w:rPr>
              <w:t>工程回归中的外部模型与服务调用以模拟响应为主</w:t>
            </w:r>
          </w:p>
        </w:tc>
      </w:tr>
      <w:tr w14:paraId="7BFBFB7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5A8578">
            <w:pPr>
              <w:spacing w:after="40" w:line="276" w:lineRule="auto"/>
              <w:rPr>
                <w:rFonts w:hint="eastAsia"/>
              </w:rPr>
            </w:pPr>
            <w:r>
              <w:rPr>
                <w:rFonts w:ascii="Times New Roman" w:hAnsi="Times New Roman" w:eastAsia="宋体"/>
                <w:sz w:val="20"/>
              </w:rPr>
              <w:t>性能条件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6BF17AC">
            <w:pPr>
              <w:spacing w:after="40" w:line="276" w:lineRule="auto"/>
              <w:rPr>
                <w:rFonts w:hint="eastAsia"/>
              </w:rPr>
            </w:pPr>
            <w:r>
              <w:rPr>
                <w:rFonts w:ascii="Times New Roman" w:hAnsi="Times New Roman" w:eastAsia="宋体"/>
                <w:sz w:val="20"/>
              </w:rPr>
              <w:t>2000笔合成消费、1项目标；预热20次，重复200次，单并发</w:t>
            </w:r>
          </w:p>
        </w:tc>
      </w:tr>
    </w:tbl>
    <w:p w14:paraId="0CEB3092">
      <w:pPr>
        <w:ind w:firstLine="420"/>
        <w:rPr>
          <w:rFonts w:hint="eastAsia"/>
        </w:rPr>
      </w:pPr>
    </w:p>
    <w:p w14:paraId="35B2FBD3">
      <w:pPr>
        <w:pStyle w:val="3"/>
        <w:rPr>
          <w:rFonts w:hint="default"/>
        </w:rPr>
      </w:pPr>
      <w:bookmarkStart w:id="292" w:name="_Toc242962134"/>
      <w:bookmarkStart w:id="291" w:name="_Toc242910604"/>
      <w:r>
        <w:t>4.3 测试用例与过程</w:t>
      </w:r>
      <w:bookmarkEnd w:id="291"/>
      <w:bookmarkEnd w:id="292"/>
    </w:p>
    <w:p w14:paraId="2E739CA1">
      <w:pPr>
        <w:pStyle w:val="4"/>
      </w:pPr>
      <w:bookmarkStart w:id="293" w:name="_Toc242962135"/>
      <w:r>
        <w:t>4.3.1 功能测试</w:t>
      </w:r>
      <w:bookmarkEnd w:id="293"/>
    </w:p>
    <w:p w14:paraId="244C91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先验证独立财务函数，再运行后端接口与前端组件回归。输入覆盖正常收支、零与负结余、非法数值、退款和转账、资料缺失、跨月资金、目标内部划拨、重复请求以及不同用户访问。期望值依据明确口径或程序真值事先确定，避免仅检查页面能否打开。</w:t>
      </w:r>
    </w:p>
    <w:p w14:paraId="286B1AA9">
      <w:pPr>
        <w:pStyle w:val="7"/>
        <w:keepNext/>
        <w:jc w:val="center"/>
      </w:pPr>
      <w:r>
        <w:t>表4-2 代表性功能用例</w:t>
      </w:r>
    </w:p>
    <w:tbl>
      <w:tblPr>
        <w:tblStyle w:val="19"/>
        <w:tblW w:w="0" w:type="auto"/>
        <w:jc w:val="center"/>
        <w:tblLayout w:type="fixed"/>
        <w:tblCellMar>
          <w:top w:w="0" w:type="dxa"/>
          <w:left w:w="108" w:type="dxa"/>
          <w:bottom w:w="0" w:type="dxa"/>
          <w:right w:w="108" w:type="dxa"/>
        </w:tblCellMar>
      </w:tblPr>
      <w:tblGrid>
        <w:gridCol w:w="1871"/>
        <w:gridCol w:w="3061"/>
        <w:gridCol w:w="4309"/>
      </w:tblGrid>
      <w:tr w14:paraId="62E9ED27">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FEA83A9">
            <w:pPr>
              <w:keepNext/>
              <w:spacing w:after="40" w:line="276" w:lineRule="auto"/>
              <w:rPr>
                <w:rFonts w:hint="eastAsia"/>
              </w:rPr>
            </w:pPr>
            <w:r>
              <w:rPr>
                <w:rFonts w:ascii="Times New Roman" w:hAnsi="Times New Roman" w:eastAsia="宋体"/>
                <w:b/>
                <w:sz w:val="20"/>
              </w:rPr>
              <w:t>编号与模块</w:t>
            </w:r>
          </w:p>
        </w:tc>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2C9C20F">
            <w:pPr>
              <w:keepNext/>
              <w:spacing w:after="40" w:line="276" w:lineRule="auto"/>
              <w:rPr>
                <w:rFonts w:hint="eastAsia"/>
              </w:rPr>
            </w:pPr>
            <w:r>
              <w:rPr>
                <w:rFonts w:ascii="Times New Roman" w:hAnsi="Times New Roman" w:eastAsia="宋体"/>
                <w:b/>
                <w:sz w:val="20"/>
              </w:rPr>
              <w:t>输入或操作</w:t>
            </w:r>
          </w:p>
        </w:tc>
        <w:tc>
          <w:tcPr>
            <w:tcW w:w="430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126A739">
            <w:pPr>
              <w:keepNext/>
              <w:spacing w:after="40" w:line="276" w:lineRule="auto"/>
              <w:rPr>
                <w:rFonts w:hint="eastAsia"/>
              </w:rPr>
            </w:pPr>
            <w:r>
              <w:rPr>
                <w:rFonts w:ascii="Times New Roman" w:hAnsi="Times New Roman" w:eastAsia="宋体"/>
                <w:b/>
                <w:sz w:val="20"/>
              </w:rPr>
              <w:t>预期行为</w:t>
            </w:r>
          </w:p>
        </w:tc>
      </w:tr>
      <w:tr w14:paraId="02CA2DA1">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BDAE4">
            <w:pPr>
              <w:keepNext/>
              <w:spacing w:after="40" w:line="276" w:lineRule="auto"/>
              <w:rPr>
                <w:rFonts w:hint="eastAsia"/>
              </w:rPr>
            </w:pPr>
            <w:r>
              <w:rPr>
                <w:rFonts w:ascii="Times New Roman" w:hAnsi="Times New Roman" w:eastAsia="宋体"/>
                <w:sz w:val="20"/>
              </w:rPr>
              <w:t>F01 等价结余天数</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A4941FB">
            <w:pPr>
              <w:keepNext/>
              <w:spacing w:after="40" w:line="276" w:lineRule="auto"/>
              <w:rPr>
                <w:rFonts w:hint="eastAsia"/>
              </w:rPr>
            </w:pPr>
            <w:r>
              <w:rPr>
                <w:rFonts w:ascii="Times New Roman" w:hAnsi="Times New Roman" w:eastAsia="宋体"/>
                <w:sz w:val="20"/>
              </w:rPr>
              <w:t>C=150元，S=600元/月</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7751C44">
            <w:pPr>
              <w:keepNext/>
              <w:spacing w:after="40" w:line="276" w:lineRule="auto"/>
              <w:rPr>
                <w:rFonts w:hint="eastAsia"/>
              </w:rPr>
            </w:pPr>
            <w:r>
              <w:rPr>
                <w:rFonts w:ascii="Times New Roman" w:hAnsi="Times New Roman" w:eastAsia="宋体"/>
                <w:sz w:val="20"/>
              </w:rPr>
              <w:t>返回7.5天，并保留估算口径</w:t>
            </w:r>
          </w:p>
        </w:tc>
      </w:tr>
      <w:tr w14:paraId="50EB1E90">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145338F">
            <w:pPr>
              <w:keepNext/>
              <w:spacing w:after="40" w:line="276" w:lineRule="auto"/>
              <w:rPr>
                <w:rFonts w:hint="eastAsia"/>
              </w:rPr>
            </w:pPr>
            <w:r>
              <w:rPr>
                <w:rFonts w:ascii="Times New Roman" w:hAnsi="Times New Roman" w:eastAsia="宋体"/>
                <w:sz w:val="20"/>
              </w:rPr>
              <w:t>F02 适用边界</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D7C605">
            <w:pPr>
              <w:keepNext/>
              <w:spacing w:after="40" w:line="276" w:lineRule="auto"/>
              <w:rPr>
                <w:rFonts w:hint="eastAsia"/>
              </w:rPr>
            </w:pPr>
            <w:r>
              <w:rPr>
                <w:rFonts w:ascii="Times New Roman" w:hAnsi="Times New Roman" w:eastAsia="宋体"/>
                <w:sz w:val="20"/>
              </w:rPr>
              <w:t>S=0或负数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ED4B330">
            <w:pPr>
              <w:keepNext/>
              <w:spacing w:after="40" w:line="276" w:lineRule="auto"/>
              <w:rPr>
                <w:rFonts w:hint="eastAsia"/>
              </w:rPr>
            </w:pPr>
            <w:r>
              <w:rPr>
                <w:rFonts w:ascii="Times New Roman" w:hAnsi="Times New Roman" w:eastAsia="宋体"/>
                <w:sz w:val="20"/>
              </w:rPr>
              <w:t>不输出无意义天数，说明条件不足</w:t>
            </w:r>
          </w:p>
        </w:tc>
      </w:tr>
      <w:tr w14:paraId="1802C42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006A41">
            <w:pPr>
              <w:keepNext/>
              <w:spacing w:after="40" w:line="276" w:lineRule="auto"/>
              <w:rPr>
                <w:rFonts w:hint="eastAsia"/>
              </w:rPr>
            </w:pPr>
            <w:r>
              <w:rPr>
                <w:rFonts w:ascii="Times New Roman" w:hAnsi="Times New Roman" w:eastAsia="宋体"/>
                <w:sz w:val="20"/>
              </w:rPr>
              <w:t>F03 资金划拨</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927B1">
            <w:pPr>
              <w:keepNext/>
              <w:spacing w:after="40" w:line="276" w:lineRule="auto"/>
              <w:rPr>
                <w:rFonts w:hint="eastAsia"/>
              </w:rPr>
            </w:pPr>
            <w:r>
              <w:rPr>
                <w:rFonts w:ascii="Times New Roman" w:hAnsi="Times New Roman" w:eastAsia="宋体"/>
                <w:sz w:val="20"/>
              </w:rPr>
              <w:t>日常资金划入储蓄目标</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74703E">
            <w:pPr>
              <w:keepNext/>
              <w:spacing w:after="40" w:line="276" w:lineRule="auto"/>
              <w:rPr>
                <w:rFonts w:hint="eastAsia"/>
              </w:rPr>
            </w:pPr>
            <w:r>
              <w:rPr>
                <w:rFonts w:ascii="Times New Roman" w:hAnsi="Times New Roman" w:eastAsia="宋体"/>
                <w:sz w:val="20"/>
              </w:rPr>
              <w:t>可用资金减少，消费支出不重复增加</w:t>
            </w:r>
          </w:p>
        </w:tc>
      </w:tr>
      <w:tr w14:paraId="387F61E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D2CE164">
            <w:pPr>
              <w:keepNext/>
              <w:spacing w:after="40" w:line="276" w:lineRule="auto"/>
              <w:rPr>
                <w:rFonts w:hint="eastAsia"/>
              </w:rPr>
            </w:pPr>
            <w:r>
              <w:rPr>
                <w:rFonts w:ascii="Times New Roman" w:hAnsi="Times New Roman" w:eastAsia="宋体"/>
                <w:sz w:val="20"/>
              </w:rPr>
              <w:t>F04 账单导入</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F9A82">
            <w:pPr>
              <w:keepNext/>
              <w:spacing w:after="40" w:line="276" w:lineRule="auto"/>
              <w:rPr>
                <w:rFonts w:hint="eastAsia"/>
              </w:rPr>
            </w:pPr>
            <w:r>
              <w:rPr>
                <w:rFonts w:ascii="Times New Roman" w:hAnsi="Times New Roman" w:eastAsia="宋体"/>
                <w:sz w:val="20"/>
              </w:rPr>
              <w:t>重复记录、退款与自定义列</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0675D9F">
            <w:pPr>
              <w:keepNext/>
              <w:spacing w:after="40" w:line="276" w:lineRule="auto"/>
              <w:rPr>
                <w:rFonts w:hint="eastAsia"/>
              </w:rPr>
            </w:pPr>
            <w:r>
              <w:rPr>
                <w:rFonts w:ascii="Times New Roman" w:hAnsi="Times New Roman" w:eastAsia="宋体"/>
                <w:sz w:val="20"/>
              </w:rPr>
              <w:t>按规则校验、去重或关联，错误可定位</w:t>
            </w:r>
          </w:p>
        </w:tc>
      </w:tr>
      <w:tr w14:paraId="73F3E694">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9DC6751">
            <w:pPr>
              <w:keepNext/>
              <w:spacing w:after="40" w:line="276" w:lineRule="auto"/>
              <w:rPr>
                <w:rFonts w:hint="eastAsia"/>
              </w:rPr>
            </w:pPr>
            <w:r>
              <w:rPr>
                <w:rFonts w:ascii="Times New Roman" w:hAnsi="Times New Roman" w:eastAsia="宋体"/>
                <w:sz w:val="20"/>
              </w:rPr>
              <w:t>F05 账户隔离</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7433F6">
            <w:pPr>
              <w:keepNext/>
              <w:spacing w:after="40" w:line="276" w:lineRule="auto"/>
              <w:rPr>
                <w:rFonts w:hint="eastAsia"/>
              </w:rPr>
            </w:pPr>
            <w:r>
              <w:rPr>
                <w:rFonts w:ascii="Times New Roman" w:hAnsi="Times New Roman" w:eastAsia="宋体"/>
                <w:sz w:val="20"/>
              </w:rPr>
              <w:t>不同账户访问学习或资金记录</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FA64A4">
            <w:pPr>
              <w:keepNext/>
              <w:spacing w:after="40" w:line="276" w:lineRule="auto"/>
              <w:rPr>
                <w:rFonts w:hint="eastAsia"/>
              </w:rPr>
            </w:pPr>
            <w:r>
              <w:rPr>
                <w:rFonts w:ascii="Times New Roman" w:hAnsi="Times New Roman" w:eastAsia="宋体"/>
                <w:sz w:val="20"/>
              </w:rPr>
              <w:t>仅能读取被授权的本人数据</w:t>
            </w:r>
          </w:p>
        </w:tc>
      </w:tr>
      <w:tr w14:paraId="113E250B">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EE1B778">
            <w:pPr>
              <w:keepNext/>
              <w:spacing w:after="40" w:line="276" w:lineRule="auto"/>
              <w:rPr>
                <w:rFonts w:hint="eastAsia"/>
              </w:rPr>
            </w:pPr>
            <w:r>
              <w:rPr>
                <w:rFonts w:ascii="Times New Roman" w:hAnsi="Times New Roman" w:eastAsia="宋体"/>
                <w:sz w:val="20"/>
              </w:rPr>
              <w:t>F06 教练回复流程</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487299">
            <w:pPr>
              <w:keepNext/>
              <w:spacing w:after="40" w:line="276" w:lineRule="auto"/>
              <w:rPr>
                <w:rFonts w:hint="eastAsia"/>
              </w:rPr>
            </w:pPr>
            <w:r>
              <w:rPr>
                <w:rFonts w:ascii="Times New Roman" w:hAnsi="Times New Roman" w:eastAsia="宋体"/>
                <w:sz w:val="20"/>
              </w:rPr>
              <w:t>格式异常、追问与模拟服务故障</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14919">
            <w:pPr>
              <w:keepNext/>
              <w:spacing w:after="40" w:line="276" w:lineRule="auto"/>
              <w:rPr>
                <w:rFonts w:hint="eastAsia"/>
              </w:rPr>
            </w:pPr>
            <w:r>
              <w:rPr>
                <w:rFonts w:ascii="Times New Roman" w:hAnsi="Times New Roman" w:eastAsia="宋体"/>
                <w:sz w:val="20"/>
              </w:rPr>
              <w:t>按规则修复或报告失败，不输出空成功</w:t>
            </w:r>
          </w:p>
        </w:tc>
      </w:tr>
      <w:tr w14:paraId="7B449C6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1FCC1F">
            <w:pPr>
              <w:keepNext/>
              <w:spacing w:after="40" w:line="276" w:lineRule="auto"/>
              <w:rPr>
                <w:rFonts w:hint="eastAsia"/>
              </w:rPr>
            </w:pPr>
            <w:r>
              <w:rPr>
                <w:rFonts w:ascii="Times New Roman" w:hAnsi="Times New Roman" w:eastAsia="宋体"/>
                <w:sz w:val="20"/>
              </w:rPr>
              <w:t>F07 每日推荐</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6E692C9">
            <w:pPr>
              <w:keepNext/>
              <w:spacing w:after="40" w:line="276" w:lineRule="auto"/>
              <w:rPr>
                <w:rFonts w:hint="eastAsia"/>
              </w:rPr>
            </w:pPr>
            <w:r>
              <w:rPr>
                <w:rFonts w:ascii="Times New Roman" w:hAnsi="Times New Roman" w:eastAsia="宋体"/>
                <w:sz w:val="20"/>
              </w:rPr>
              <w:t>同日再次请求、无合格候选</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99F479">
            <w:pPr>
              <w:keepNext/>
              <w:spacing w:after="40" w:line="276" w:lineRule="auto"/>
              <w:rPr>
                <w:rFonts w:hint="eastAsia"/>
              </w:rPr>
            </w:pPr>
            <w:r>
              <w:rPr>
                <w:rFonts w:ascii="Times New Roman" w:hAnsi="Times New Roman" w:eastAsia="宋体"/>
                <w:sz w:val="20"/>
              </w:rPr>
              <w:t>结果稳定或明确显示空状态</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F08 排序异常</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超时、遗漏候选、非有限分数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拒绝无效响应并回退本地基线</w:t>
            </w:r>
          </w:p>
        </w:tc>
      </w:tr>
    </w:tbl>
    <w:p w14:paraId="13384248">
      <w:pPr>
        <w:ind w:firstLine="420"/>
        <w:rPr>
          <w:rFonts w:hint="eastAsia"/>
        </w:rPr>
      </w:pPr>
    </w:p>
    <w:p w14:paraId="7053739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升级教练另建立独立题集，覆盖概念解释、口语改写、连续追问、个人试算、缺失条件和越界问题，并由人工标注适用资料与判断依据。HSTU另设置统一候选集和时间测试窗口，开展排序对照与消融；这两类算法评测的结果需与具体模型版本一同归档。</w:t>
      </w:r>
    </w:p>
    <w:p w14:paraId="4C861A82">
      <w:pPr>
        <w:pStyle w:val="4"/>
      </w:pPr>
      <w:bookmarkStart w:id="294" w:name="_Toc242962136"/>
      <w:r>
        <w:t>4.3.2 性能测试</w:t>
      </w:r>
      <w:bookmarkEnd w:id="294"/>
    </w:p>
    <w:p w14:paraId="4FB3BEF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次测量固定2000笔覆盖约6个月的合成消费记录和1个储蓄目标，调用完整财务报告构建及结构化转换，包含当前报告中的探索性PCA。使用高精度计时器，先预热20次，再在同一输入下执行200次，报告中位数与P95；P95采用升序第190个样本。</w:t>
      </w:r>
    </w:p>
    <w:p w14:paraId="3DB236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量不包含HTTP传输、数据库读写、外部大模型或HSTU推理，因此只反映本地计算任务的耗时。端到端与并发测试需在固定部署环境下，分别报告接口、存储、检索、生成与推荐服务的分段延迟、成功率和故障回退。</w:t>
      </w:r>
    </w:p>
    <w:p w14:paraId="78EDBA07">
      <w:pPr>
        <w:pStyle w:val="3"/>
        <w:rPr>
          <w:rFonts w:hint="default"/>
        </w:rPr>
      </w:pPr>
      <w:bookmarkStart w:id="296" w:name="_Toc242962137"/>
      <w:bookmarkStart w:id="295" w:name="_Toc242910605"/>
      <w:r>
        <w:t>4.4 测试结果</w:t>
      </w:r>
      <w:bookmarkEnd w:id="295"/>
      <w:bookmarkEnd w:id="296"/>
    </w:p>
    <w:p w14:paraId="53069108">
      <w:pPr>
        <w:pStyle w:val="4"/>
      </w:pPr>
      <w:bookmarkStart w:id="297" w:name="_Toc242962138"/>
      <w:r>
        <w:t>4.4.1 功能测试结果</w:t>
      </w:r>
      <w:bookmarkEnd w:id="297"/>
    </w:p>
    <w:p w14:paraId="3DF6CEBA">
      <w:pPr>
        <w:pStyle w:val="7"/>
        <w:keepNext/>
        <w:jc w:val="center"/>
      </w:pPr>
      <w:r>
        <w:t>表4-3 后端回归测试结果</w:t>
      </w:r>
    </w:p>
    <w:tbl>
      <w:tblPr>
        <w:tblStyle w:val="19"/>
        <w:tblW w:w="0" w:type="auto"/>
        <w:jc w:val="center"/>
        <w:tblLayout w:type="fixed"/>
        <w:tblCellMar>
          <w:top w:w="0" w:type="dxa"/>
          <w:left w:w="108" w:type="dxa"/>
          <w:bottom w:w="0" w:type="dxa"/>
          <w:right w:w="108" w:type="dxa"/>
        </w:tblCellMar>
      </w:tblPr>
      <w:tblGrid>
        <w:gridCol w:w="5443"/>
        <w:gridCol w:w="1247"/>
        <w:gridCol w:w="2551"/>
      </w:tblGrid>
      <w:tr w14:paraId="3AC95BF3">
        <w:tblPrEx>
          <w:tblCellMar>
            <w:top w:w="0" w:type="dxa"/>
            <w:left w:w="108" w:type="dxa"/>
            <w:bottom w:w="0" w:type="dxa"/>
            <w:right w:w="108" w:type="dxa"/>
          </w:tblCellMar>
        </w:tblPrEx>
        <w:trPr>
          <w:cantSplit/>
          <w:tblHeader/>
          <w:jc w:val="center"/>
        </w:trPr>
        <w:tc>
          <w:tcPr>
            <w:tcW w:w="544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06581D9">
            <w:pPr>
              <w:keepNext/>
              <w:spacing w:after="40" w:line="276" w:lineRule="auto"/>
              <w:rPr>
                <w:rFonts w:hint="eastAsia"/>
              </w:rPr>
            </w:pPr>
            <w:r>
              <w:rPr>
                <w:rFonts w:ascii="Times New Roman" w:hAnsi="Times New Roman" w:eastAsia="宋体"/>
                <w:b/>
                <w:sz w:val="20"/>
              </w:rPr>
              <w:t>测试分组</w:t>
            </w:r>
          </w:p>
        </w:tc>
        <w:tc>
          <w:tcPr>
            <w:tcW w:w="124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133383A">
            <w:pPr>
              <w:keepNext/>
              <w:spacing w:after="40" w:line="276" w:lineRule="auto"/>
              <w:rPr>
                <w:rFonts w:hint="eastAsia"/>
              </w:rPr>
            </w:pPr>
            <w:r>
              <w:rPr>
                <w:rFonts w:ascii="Times New Roman" w:hAnsi="Times New Roman" w:eastAsia="宋体"/>
                <w:b/>
                <w:sz w:val="20"/>
              </w:rPr>
              <w:t>用例数</w:t>
            </w:r>
          </w:p>
        </w:tc>
        <w:tc>
          <w:tcPr>
            <w:tcW w:w="255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500CD1A">
            <w:pPr>
              <w:keepNext/>
              <w:spacing w:after="40" w:line="276" w:lineRule="auto"/>
              <w:rPr>
                <w:rFonts w:hint="eastAsia"/>
              </w:rPr>
            </w:pPr>
            <w:r>
              <w:rPr>
                <w:rFonts w:ascii="Times New Roman" w:hAnsi="Times New Roman" w:eastAsia="宋体"/>
                <w:b/>
                <w:sz w:val="20"/>
              </w:rPr>
              <w:t>结果</w:t>
            </w:r>
          </w:p>
        </w:tc>
      </w:tr>
      <w:tr w14:paraId="703D652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D95CB5">
            <w:pPr>
              <w:keepNext/>
              <w:spacing w:after="40" w:line="276" w:lineRule="auto"/>
              <w:rPr>
                <w:rFonts w:hint="eastAsia"/>
              </w:rPr>
            </w:pPr>
            <w:r>
              <w:rPr>
                <w:rFonts w:ascii="Times New Roman" w:hAnsi="Times New Roman" w:eastAsia="宋体"/>
                <w:sz w:val="20"/>
              </w:rPr>
              <w:t>核心决策引擎</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2C66705">
            <w:pPr>
              <w:keepNext/>
              <w:spacing w:after="40" w:line="276" w:lineRule="auto"/>
              <w:rPr>
                <w:rFonts w:hint="eastAsia"/>
              </w:rPr>
            </w:pPr>
            <w:r>
              <w:rPr>
                <w:rFonts w:ascii="Times New Roman" w:hAnsi="Times New Roman" w:eastAsia="宋体"/>
                <w:sz w:val="20"/>
              </w:rPr>
              <w:t>54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06AE770">
            <w:pPr>
              <w:keepNext/>
              <w:spacing w:after="40" w:line="276" w:lineRule="auto"/>
              <w:rPr>
                <w:rFonts w:hint="eastAsia"/>
              </w:rPr>
            </w:pPr>
            <w:r>
              <w:rPr>
                <w:rFonts w:ascii="Times New Roman" w:hAnsi="Times New Roman" w:eastAsia="宋体"/>
                <w:sz w:val="20"/>
              </w:rPr>
              <w:t>通过</w:t>
            </w:r>
          </w:p>
        </w:tc>
      </w:tr>
      <w:tr w14:paraId="7F5498FF">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5E026C">
            <w:pPr>
              <w:keepNext/>
              <w:spacing w:after="40" w:line="276" w:lineRule="auto"/>
              <w:rPr>
                <w:rFonts w:hint="eastAsia"/>
              </w:rPr>
            </w:pPr>
            <w:r>
              <w:rPr>
                <w:rFonts w:ascii="Times New Roman" w:hAnsi="Times New Roman" w:eastAsia="宋体"/>
                <w:sz w:val="20"/>
              </w:rPr>
              <w:t>资金 目标与账本同步</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8FDC3F">
            <w:pPr>
              <w:keepNext/>
              <w:spacing w:after="40" w:line="276" w:lineRule="auto"/>
              <w:rPr>
                <w:rFonts w:hint="eastAsia"/>
              </w:rPr>
            </w:pPr>
            <w:r>
              <w:rPr>
                <w:rFonts w:ascii="Times New Roman" w:hAnsi="Times New Roman" w:eastAsia="宋体"/>
                <w:sz w:val="20"/>
              </w:rPr>
              <w:t>52</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5015632">
            <w:pPr>
              <w:keepNext/>
              <w:spacing w:after="40" w:line="276" w:lineRule="auto"/>
              <w:rPr>
                <w:rFonts w:hint="eastAsia"/>
              </w:rPr>
            </w:pPr>
            <w:r>
              <w:rPr>
                <w:rFonts w:ascii="Times New Roman" w:hAnsi="Times New Roman" w:eastAsia="宋体"/>
                <w:sz w:val="20"/>
              </w:rPr>
              <w:t>通过</w:t>
            </w:r>
          </w:p>
        </w:tc>
      </w:tr>
      <w:tr w14:paraId="5B0E8700">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7E70DC">
            <w:pPr>
              <w:keepNext/>
              <w:spacing w:after="40" w:line="276" w:lineRule="auto"/>
              <w:rPr>
                <w:rFonts w:hint="eastAsia"/>
              </w:rPr>
            </w:pPr>
            <w:r>
              <w:rPr>
                <w:rFonts w:ascii="Times New Roman" w:hAnsi="Times New Roman" w:eastAsia="宋体"/>
                <w:sz w:val="20"/>
              </w:rPr>
              <w:t>学习 问卷 签到与知识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BC9C6F">
            <w:pPr>
              <w:keepNext/>
              <w:spacing w:after="40" w:line="276" w:lineRule="auto"/>
              <w:rPr>
                <w:rFonts w:hint="eastAsia"/>
              </w:rPr>
            </w:pPr>
            <w:r>
              <w:rPr>
                <w:rFonts w:ascii="Times New Roman" w:hAnsi="Times New Roman" w:eastAsia="宋体"/>
                <w:sz w:val="20"/>
              </w:rPr>
              <w:t>80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CA398D">
            <w:pPr>
              <w:keepNext/>
              <w:spacing w:after="40" w:line="276" w:lineRule="auto"/>
              <w:rPr>
                <w:rFonts w:hint="eastAsia"/>
              </w:rPr>
            </w:pPr>
            <w:r>
              <w:rPr>
                <w:rFonts w:ascii="Times New Roman" w:hAnsi="Times New Roman" w:eastAsia="宋体"/>
                <w:sz w:val="20"/>
              </w:rPr>
              <w:t>通过</w:t>
            </w:r>
          </w:p>
        </w:tc>
      </w:tr>
      <w:tr w14:paraId="39DB758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75DEE5B">
            <w:pPr>
              <w:keepNext/>
              <w:spacing w:after="40" w:line="276" w:lineRule="auto"/>
              <w:rPr>
                <w:rFonts w:hint="eastAsia"/>
              </w:rPr>
            </w:pPr>
            <w:r>
              <w:rPr>
                <w:rFonts w:ascii="Times New Roman" w:hAnsi="Times New Roman" w:eastAsia="宋体"/>
                <w:sz w:val="20"/>
              </w:rPr>
              <w:t>推荐情境与播客</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DED5A">
            <w:pPr>
              <w:keepNext/>
              <w:spacing w:after="40" w:line="276" w:lineRule="auto"/>
              <w:rPr>
                <w:rFonts w:hint="eastAsia"/>
              </w:rPr>
            </w:pPr>
            <w:r>
              <w:rPr>
                <w:rFonts w:ascii="Times New Roman" w:hAnsi="Times New Roman" w:eastAsia="宋体"/>
                <w:sz w:val="20"/>
              </w:rPr>
              <w:t>38</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D77CCB">
            <w:pPr>
              <w:keepNext/>
              <w:spacing w:after="40" w:line="276" w:lineRule="auto"/>
              <w:rPr>
                <w:rFonts w:hint="eastAsia"/>
              </w:rPr>
            </w:pPr>
            <w:r>
              <w:rPr>
                <w:rFonts w:ascii="Times New Roman" w:hAnsi="Times New Roman" w:eastAsia="宋体"/>
                <w:sz w:val="20"/>
              </w:rPr>
              <w:t>通过</w:t>
            </w:r>
          </w:p>
        </w:tc>
      </w:tr>
      <w:tr w14:paraId="15891548">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397B17">
            <w:pPr>
              <w:keepNext/>
              <w:spacing w:after="40" w:line="276" w:lineRule="auto"/>
              <w:rPr>
                <w:rFonts w:hint="eastAsia"/>
              </w:rPr>
            </w:pPr>
            <w:r>
              <w:rPr>
                <w:rFonts w:ascii="Times New Roman" w:hAnsi="Times New Roman" w:eastAsia="宋体"/>
                <w:sz w:val="20"/>
              </w:rPr>
              <w:t>账单导入与格式处理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33E52A">
            <w:pPr>
              <w:keepNext/>
              <w:spacing w:after="40" w:line="276" w:lineRule="auto"/>
              <w:rPr>
                <w:rFonts w:hint="eastAsia"/>
              </w:rPr>
            </w:pPr>
            <w:r>
              <w:rPr>
                <w:rFonts w:ascii="Times New Roman" w:hAnsi="Times New Roman" w:eastAsia="宋体"/>
                <w:sz w:val="20"/>
              </w:rPr>
              <w:t>20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EB64DC">
            <w:pPr>
              <w:keepNext/>
              <w:spacing w:after="40" w:line="276" w:lineRule="auto"/>
              <w:rPr>
                <w:rFonts w:hint="eastAsia"/>
              </w:rPr>
            </w:pPr>
            <w:r>
              <w:rPr>
                <w:rFonts w:ascii="Times New Roman" w:hAnsi="Times New Roman" w:eastAsia="宋体"/>
                <w:sz w:val="20"/>
              </w:rPr>
              <w:t>通过</w:t>
            </w:r>
          </w:p>
        </w:tc>
      </w:tr>
      <w:tr w14:paraId="132482B9">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70217F7">
            <w:pPr>
              <w:keepNext/>
              <w:spacing w:after="40" w:line="276" w:lineRule="auto"/>
              <w:rPr>
                <w:rFonts w:hint="eastAsia"/>
              </w:rPr>
            </w:pPr>
            <w:r>
              <w:rPr>
                <w:rFonts w:ascii="Times New Roman" w:hAnsi="Times New Roman" w:eastAsia="宋体"/>
                <w:sz w:val="20"/>
              </w:rPr>
              <w:t>AI教练回复流程</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5E2A09">
            <w:pPr>
              <w:keepNext/>
              <w:spacing w:after="40" w:line="276" w:lineRule="auto"/>
              <w:rPr>
                <w:rFonts w:hint="eastAsia"/>
              </w:rPr>
            </w:pPr>
            <w:r>
              <w:rPr>
                <w:rFonts w:ascii="Times New Roman" w:hAnsi="Times New Roman" w:eastAsia="宋体"/>
                <w:sz w:val="20"/>
              </w:rPr>
              <w:t>6</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7F63CD">
            <w:pPr>
              <w:keepNext/>
              <w:spacing w:after="40" w:line="276" w:lineRule="auto"/>
              <w:rPr>
                <w:rFonts w:hint="eastAsia"/>
              </w:rPr>
            </w:pPr>
            <w:r>
              <w:rPr>
                <w:rFonts w:ascii="Times New Roman" w:hAnsi="Times New Roman" w:eastAsia="宋体"/>
                <w:sz w:val="20"/>
              </w:rPr>
              <w:t>通过</w:t>
            </w:r>
          </w:p>
        </w:tc>
      </w:tr>
      <w:tr w14:paraId="7F20707B">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B79F1D">
            <w:pPr>
              <w:keepNext/>
              <w:spacing w:after="40" w:line="276" w:lineRule="auto"/>
              <w:rPr>
                <w:rFonts w:hint="eastAsia"/>
              </w:rPr>
            </w:pPr>
            <w:r>
              <w:rPr>
                <w:rFonts w:ascii="Times New Roman" w:hAnsi="Times New Roman" w:eastAsia="宋体"/>
                <w:sz w:val="20"/>
              </w:rPr>
              <w:t>PCA 研究与评估工具</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60064E">
            <w:pPr>
              <w:keepNext/>
              <w:spacing w:after="40" w:line="276" w:lineRule="auto"/>
              <w:rPr>
                <w:rFonts w:hint="eastAsia"/>
              </w:rPr>
            </w:pPr>
            <w:r>
              <w:rPr>
                <w:rFonts w:ascii="Times New Roman" w:hAnsi="Times New Roman" w:eastAsia="宋体"/>
                <w:sz w:val="20"/>
              </w:rPr>
              <w:t>30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DED866">
            <w:pPr>
              <w:keepNext/>
              <w:spacing w:after="40" w:line="276" w:lineRule="auto"/>
              <w:rPr>
                <w:rFonts w:hint="eastAsia"/>
              </w:rPr>
            </w:pPr>
            <w:r>
              <w:rPr>
                <w:rFonts w:ascii="Times New Roman" w:hAnsi="Times New Roman" w:eastAsia="宋体"/>
                <w:sz w:val="20"/>
              </w:rPr>
              <w:t>通过</w:t>
            </w:r>
          </w:p>
        </w:tc>
      </w:tr>
      <w:tr w14:paraId="27C8BBF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881E10">
            <w:pPr>
              <w:keepNext/>
              <w:spacing w:after="40" w:line="276" w:lineRule="auto"/>
              <w:rPr>
                <w:rFonts w:hint="eastAsia"/>
              </w:rPr>
            </w:pPr>
            <w:r>
              <w:rPr>
                <w:rFonts w:ascii="Times New Roman" w:hAnsi="Times New Roman" w:eastAsia="宋体"/>
                <w:sz w:val="20"/>
              </w:rPr>
              <w:t>权限与本地服务锁</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F61D8E">
            <w:pPr>
              <w:keepNext/>
              <w:spacing w:after="40" w:line="276" w:lineRule="auto"/>
              <w:rPr>
                <w:rFonts w:hint="eastAsia"/>
              </w:rPr>
            </w:pPr>
            <w:r>
              <w:rPr>
                <w:rFonts w:ascii="Times New Roman" w:hAnsi="Times New Roman" w:eastAsia="宋体"/>
                <w:sz w:val="20"/>
              </w:rPr>
              <w:t>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8D74E">
            <w:pPr>
              <w:keepNext/>
              <w:spacing w:after="40" w:line="276" w:lineRule="auto"/>
              <w:rPr>
                <w:rFonts w:hint="eastAsia"/>
              </w:rPr>
            </w:pPr>
            <w:r>
              <w:rPr>
                <w:rFonts w:ascii="Times New Roman" w:hAnsi="Times New Roman" w:eastAsia="宋体"/>
                <w:sz w:val="20"/>
              </w:rPr>
              <w:t>通过</w:t>
            </w:r>
          </w:p>
        </w:tc>
      </w:tr>
      <w:tr w14:paraId="28B8039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DF59B4">
            <w:pPr>
              <w:spacing w:after="40" w:line="276" w:lineRule="auto"/>
              <w:rPr>
                <w:rFonts w:hint="eastAsia"/>
              </w:rPr>
            </w:pPr>
            <w:r>
              <w:rPr>
                <w:rFonts w:ascii="Times New Roman" w:hAnsi="Times New Roman" w:eastAsia="宋体"/>
                <w:sz w:val="20"/>
              </w:rPr>
              <w:t>合计</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8134F8">
            <w:pPr>
              <w:spacing w:after="40" w:line="276" w:lineRule="auto"/>
              <w:rPr>
                <w:rFonts w:hint="eastAsia"/>
              </w:rPr>
            </w:pPr>
            <w:r>
              <w:rPr>
                <w:rFonts w:ascii="Times New Roman" w:hAnsi="Times New Roman" w:eastAsia="宋体"/>
                <w:sz w:val="20"/>
              </w:rPr>
              <w:t>284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D9DB20">
            <w:pPr>
              <w:spacing w:after="40" w:line="276" w:lineRule="auto"/>
              <w:rPr>
                <w:rFonts w:hint="eastAsia"/>
              </w:rPr>
            </w:pPr>
            <w:r>
              <w:rPr>
                <w:rFonts w:ascii="Times New Roman" w:hAnsi="Times New Roman" w:eastAsia="宋体"/>
                <w:sz w:val="20"/>
              </w:rPr>
              <w:t>284项通过，0失败，0错误</w:t>
            </w:r>
          </w:p>
        </w:tc>
      </w:tr>
    </w:tbl>
    <w:p w14:paraId="366F5F39">
      <w:pPr>
        <w:ind w:firstLine="420"/>
        <w:rPr>
          <w:rFonts w:hint="eastAsia"/>
        </w:rPr>
      </w:pPr>
    </w:p>
    <w:p w14:paraId="69A4E89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端测试总耗时约48.62秒。核心引擎54项是284项中的子集，不重复相加。另选取6个财务与推荐相关前端测试文件，21项用例全部通过，总耗时约24.93秒，覆盖资金展示、目标现金流、未来开支和播客相关交互；该结果不代表前端全部测试均已运行。</w:t>
      </w:r>
    </w:p>
    <w:p w14:paraId="767BF5B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常规生产构建完成，生成可部署文件；静态检查仍存在未使用变量、链接可访问性等警告，严格CI模式下尚需清理。工程用例通过率不等于代码行覆盖率，也不证明真实账单识别准确率或教育效果达到100%。</w:t>
      </w:r>
    </w:p>
    <w:p w14:paraId="0C8E804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已有检索开发记录包含11道有目标知识的问题与1道领域外问题：前3条命中10/11，领域外问题按预期不召回。该题集接近文章标题、未调用真实大模型，只作为基线开发检查，不作为升级混合检索的盲测成绩。真实HSTU与升级教练的独立指标，按表3-1、表3-2方案补充。</w:t>
      </w:r>
    </w:p>
    <w:p w14:paraId="51DB843F">
      <w:pPr>
        <w:pStyle w:val="4"/>
      </w:pPr>
      <w:bookmarkStart w:id="298" w:name="_Toc242962139"/>
      <w:r>
        <w:t>4.4.2 性能测试结果</w:t>
      </w:r>
      <w:bookmarkEnd w:id="298"/>
    </w:p>
    <w:p w14:paraId="6D6D5307">
      <w:pPr>
        <w:pStyle w:val="7"/>
        <w:keepNext/>
        <w:jc w:val="center"/>
      </w:pPr>
      <w:r>
        <w:t>表4-4 本地完整报告计算耗时</w:t>
      </w:r>
    </w:p>
    <w:tbl>
      <w:tblPr>
        <w:tblStyle w:val="19"/>
        <w:tblW w:w="0" w:type="auto"/>
        <w:jc w:val="center"/>
        <w:tblLayout w:type="fixed"/>
        <w:tblCellMar>
          <w:top w:w="0" w:type="dxa"/>
          <w:left w:w="108" w:type="dxa"/>
          <w:bottom w:w="0" w:type="dxa"/>
          <w:right w:w="108" w:type="dxa"/>
        </w:tblCellMar>
      </w:tblPr>
      <w:tblGrid>
        <w:gridCol w:w="3061"/>
        <w:gridCol w:w="6180"/>
      </w:tblGrid>
      <w:tr w14:paraId="3B6A8C0E">
        <w:tblPrEx>
          <w:tblCellMar>
            <w:top w:w="0" w:type="dxa"/>
            <w:left w:w="108" w:type="dxa"/>
            <w:bottom w:w="0" w:type="dxa"/>
            <w:right w:w="108" w:type="dxa"/>
          </w:tblCellMar>
        </w:tblPrEx>
        <w:trPr>
          <w:cantSplit/>
          <w:tblHeader/>
          <w:jc w:val="center"/>
        </w:trPr>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6173433">
            <w:pPr>
              <w:keepNext/>
              <w:spacing w:after="40" w:line="276" w:lineRule="auto"/>
              <w:rPr>
                <w:rFonts w:hint="eastAsia"/>
              </w:rPr>
            </w:pPr>
            <w:r>
              <w:rPr>
                <w:rFonts w:ascii="Times New Roman" w:hAnsi="Times New Roman" w:eastAsia="宋体"/>
                <w:b/>
                <w:sz w:val="20"/>
              </w:rPr>
              <w:t>统计项目</w:t>
            </w:r>
          </w:p>
        </w:tc>
        <w:tc>
          <w:tcPr>
            <w:tcW w:w="6180"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33A375C">
            <w:pPr>
              <w:keepNext/>
              <w:spacing w:after="40" w:line="276" w:lineRule="auto"/>
              <w:rPr>
                <w:rFonts w:hint="eastAsia"/>
              </w:rPr>
            </w:pPr>
            <w:r>
              <w:rPr>
                <w:rFonts w:ascii="Times New Roman" w:hAnsi="Times New Roman" w:eastAsia="宋体"/>
                <w:b/>
                <w:sz w:val="20"/>
              </w:rPr>
              <w:t>结果</w:t>
            </w:r>
          </w:p>
        </w:tc>
      </w:tr>
      <w:tr w14:paraId="3EAF89A3">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18BC171">
            <w:pPr>
              <w:keepNext/>
              <w:spacing w:after="40" w:line="276" w:lineRule="auto"/>
              <w:rPr>
                <w:rFonts w:hint="eastAsia"/>
              </w:rPr>
            </w:pPr>
            <w:r>
              <w:rPr>
                <w:rFonts w:ascii="Times New Roman" w:hAnsi="Times New Roman" w:eastAsia="宋体"/>
                <w:sz w:val="20"/>
              </w:rPr>
              <w:t>记录规模与重复次数</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988C30C">
            <w:pPr>
              <w:keepNext/>
              <w:spacing w:after="40" w:line="276" w:lineRule="auto"/>
              <w:rPr>
                <w:rFonts w:hint="eastAsia"/>
              </w:rPr>
            </w:pPr>
            <w:r>
              <w:rPr>
                <w:rFonts w:ascii="Times New Roman" w:hAnsi="Times New Roman" w:eastAsia="宋体"/>
                <w:sz w:val="20"/>
              </w:rPr>
              <w:t>2000笔消费，1项目标；200次正式测量</w:t>
            </w:r>
          </w:p>
        </w:tc>
      </w:tr>
      <w:tr w14:paraId="4A04D087">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401531">
            <w:pPr>
              <w:keepNext/>
              <w:spacing w:after="40" w:line="276" w:lineRule="auto"/>
              <w:rPr>
                <w:rFonts w:hint="eastAsia"/>
              </w:rPr>
            </w:pPr>
            <w:r>
              <w:rPr>
                <w:rFonts w:ascii="Times New Roman" w:hAnsi="Times New Roman" w:eastAsia="宋体"/>
                <w:sz w:val="20"/>
              </w:rPr>
              <w:t>中位耗时 P50</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79F6FC">
            <w:pPr>
              <w:keepNext/>
              <w:spacing w:after="40" w:line="276" w:lineRule="auto"/>
              <w:rPr>
                <w:rFonts w:hint="eastAsia"/>
              </w:rPr>
            </w:pPr>
            <w:r>
              <w:rPr>
                <w:rFonts w:ascii="Times New Roman" w:hAnsi="Times New Roman" w:eastAsia="宋体"/>
                <w:sz w:val="20"/>
              </w:rPr>
              <w:t>17.224 毫秒</w:t>
            </w:r>
          </w:p>
        </w:tc>
      </w:tr>
      <w:tr w14:paraId="24C1488E">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5C0A09D">
            <w:pPr>
              <w:keepNext/>
              <w:spacing w:after="40" w:line="276" w:lineRule="auto"/>
              <w:rPr>
                <w:rFonts w:hint="eastAsia"/>
              </w:rPr>
            </w:pPr>
            <w:r>
              <w:rPr>
                <w:rFonts w:ascii="Times New Roman" w:hAnsi="Times New Roman" w:eastAsia="宋体"/>
                <w:sz w:val="20"/>
              </w:rPr>
              <w:t>P95耗时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DE6B25">
            <w:pPr>
              <w:keepNext/>
              <w:spacing w:after="40" w:line="276" w:lineRule="auto"/>
              <w:rPr>
                <w:rFonts w:hint="eastAsia"/>
              </w:rPr>
            </w:pPr>
            <w:r>
              <w:rPr>
                <w:rFonts w:ascii="Times New Roman" w:hAnsi="Times New Roman" w:eastAsia="宋体"/>
                <w:sz w:val="20"/>
              </w:rPr>
              <w:t>22.047 毫秒</w:t>
            </w:r>
          </w:p>
        </w:tc>
      </w:tr>
      <w:tr w14:paraId="6EA1AC90">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092875">
            <w:pPr>
              <w:keepNext/>
              <w:spacing w:after="40" w:line="276" w:lineRule="auto"/>
              <w:rPr>
                <w:rFonts w:hint="eastAsia"/>
              </w:rPr>
            </w:pPr>
            <w:r>
              <w:rPr>
                <w:rFonts w:ascii="Times New Roman" w:hAnsi="Times New Roman" w:eastAsia="宋体"/>
                <w:sz w:val="20"/>
              </w:rPr>
              <w:t>最小与最大耗时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861E52C">
            <w:pPr>
              <w:keepNext/>
              <w:spacing w:after="40" w:line="276" w:lineRule="auto"/>
              <w:rPr>
                <w:rFonts w:hint="eastAsia"/>
              </w:rPr>
            </w:pPr>
            <w:r>
              <w:rPr>
                <w:rFonts w:ascii="Times New Roman" w:hAnsi="Times New Roman" w:eastAsia="宋体"/>
                <w:sz w:val="20"/>
              </w:rPr>
              <w:t>13.960 毫秒 / 33.927 毫秒</w:t>
            </w:r>
          </w:p>
        </w:tc>
      </w:tr>
      <w:tr w14:paraId="0B33FC16">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65F983">
            <w:pPr>
              <w:keepNext/>
              <w:spacing w:after="40" w:line="276" w:lineRule="auto"/>
              <w:rPr>
                <w:rFonts w:hint="eastAsia"/>
              </w:rPr>
            </w:pPr>
            <w:r>
              <w:rPr>
                <w:rFonts w:ascii="Times New Roman" w:hAnsi="Times New Roman" w:eastAsia="宋体"/>
                <w:sz w:val="20"/>
              </w:rPr>
              <w:t>测量范围</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21F155">
            <w:pPr>
              <w:keepNext/>
              <w:spacing w:after="40" w:line="276" w:lineRule="auto"/>
              <w:rPr>
                <w:rFonts w:hint="eastAsia"/>
              </w:rPr>
            </w:pPr>
            <w:r>
              <w:rPr>
                <w:rFonts w:ascii="Times New Roman" w:hAnsi="Times New Roman" w:eastAsia="宋体"/>
                <w:sz w:val="20"/>
              </w:rPr>
              <w:t>完整报告构建与结构化转换，含当前PCA分析</w:t>
            </w:r>
          </w:p>
        </w:tc>
      </w:tr>
      <w:tr w14:paraId="0A0FF2EF">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5A7FED">
            <w:pPr>
              <w:spacing w:after="40" w:line="276" w:lineRule="auto"/>
              <w:rPr>
                <w:rFonts w:hint="eastAsia"/>
              </w:rPr>
            </w:pPr>
            <w:r>
              <w:rPr>
                <w:rFonts w:ascii="Times New Roman" w:hAnsi="Times New Roman" w:eastAsia="宋体"/>
                <w:sz w:val="20"/>
              </w:rPr>
              <w:t>不包含</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EAA02E">
            <w:pPr>
              <w:spacing w:after="40" w:line="276" w:lineRule="auto"/>
              <w:rPr>
                <w:rFonts w:hint="eastAsia"/>
              </w:rPr>
            </w:pPr>
            <w:r>
              <w:rPr>
                <w:rFonts w:ascii="Times New Roman" w:hAnsi="Times New Roman" w:eastAsia="宋体"/>
                <w:sz w:val="20"/>
              </w:rPr>
              <w:t>HTTP、数据库、网络、大模型生成、HSTU推理</w:t>
            </w:r>
          </w:p>
        </w:tc>
      </w:tr>
    </w:tbl>
    <w:p w14:paraId="20E775CC">
      <w:pPr>
        <w:ind w:firstLine="420"/>
        <w:rPr>
          <w:rFonts w:hint="eastAsia"/>
        </w:rPr>
      </w:pPr>
    </w:p>
    <w:p w14:paraId="6A9EC4B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结果显示，该输入规模下的本地报告计算具备交互展示基础。该数据来自开发环境单并发重复测量，不能外推为线上高并发能力、完整AI回复延迟或推荐服务性能；同时运行条件、数据形态和首次调用均可能影响结果。</w:t>
      </w:r>
    </w:p>
    <w:p w14:paraId="67ED5D65">
      <w:pPr>
        <w:pStyle w:val="3"/>
        <w:pageBreakBefore/>
        <w:rPr>
          <w:rFonts w:hint="default"/>
        </w:rPr>
      </w:pPr>
      <w:bookmarkStart w:id="300" w:name="_Toc242962140"/>
      <w:bookmarkStart w:id="299" w:name="_Toc242910606"/>
      <w:r>
        <w:t>4.5 金融素养培养效果验证方案</w:t>
      </w:r>
      <w:bookmarkEnd w:id="299"/>
      <w:bookmarkEnd w:id="300"/>
    </w:p>
    <w:p w14:paraId="1824DF6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校园研究拟先完成可用性试用，再开展正式对照。计划招募60—90名自愿参与的大学生作为可行性研究目标规模，实际样本量经先导数据与功效分析确定。试验前固定授权、分组、退出机制、周期与分析方法，不预先承诺显著提升。</w:t>
      </w:r>
    </w:p>
    <w:p w14:paraId="599A7776">
      <w:pPr>
        <w:pStyle w:val="7"/>
        <w:keepNext/>
        <w:jc w:val="center"/>
      </w:pPr>
      <w:r>
        <w:t>表4-5 拟开展的校园对照研究</w:t>
      </w:r>
    </w:p>
    <w:tbl>
      <w:tblPr>
        <w:tblStyle w:val="19"/>
        <w:tblW w:w="0" w:type="auto"/>
        <w:jc w:val="center"/>
        <w:tblLayout w:type="fixed"/>
        <w:tblCellMar>
          <w:top w:w="0" w:type="dxa"/>
          <w:left w:w="108" w:type="dxa"/>
          <w:bottom w:w="0" w:type="dxa"/>
          <w:right w:w="108" w:type="dxa"/>
        </w:tblCellMar>
      </w:tblPr>
      <w:tblGrid>
        <w:gridCol w:w="1928"/>
        <w:gridCol w:w="4082"/>
        <w:gridCol w:w="3231"/>
      </w:tblGrid>
      <w:tr w14:paraId="14B6DEA3">
        <w:tblPrEx>
          <w:tblCellMar>
            <w:top w:w="0" w:type="dxa"/>
            <w:left w:w="108" w:type="dxa"/>
            <w:bottom w:w="0" w:type="dxa"/>
            <w:right w:w="108" w:type="dxa"/>
          </w:tblCellMar>
        </w:tblPrEx>
        <w:trPr>
          <w:cantSplit/>
          <w:tblHeader/>
          <w:jc w:val="center"/>
        </w:trPr>
        <w:tc>
          <w:tcPr>
            <w:tcW w:w="192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5E5C0F0">
            <w:pPr>
              <w:keepNext/>
              <w:spacing w:after="40" w:line="276" w:lineRule="auto"/>
              <w:rPr>
                <w:rFonts w:hint="eastAsia"/>
              </w:rPr>
            </w:pPr>
            <w:r>
              <w:rPr>
                <w:rFonts w:ascii="Times New Roman" w:hAnsi="Times New Roman" w:eastAsia="宋体"/>
                <w:b/>
                <w:sz w:val="20"/>
              </w:rPr>
              <w:t>阶段或分组</w:t>
            </w:r>
          </w:p>
        </w:tc>
        <w:tc>
          <w:tcPr>
            <w:tcW w:w="408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A276D36">
            <w:pPr>
              <w:keepNext/>
              <w:spacing w:after="40" w:line="276" w:lineRule="auto"/>
              <w:rPr>
                <w:rFonts w:hint="eastAsia"/>
              </w:rPr>
            </w:pPr>
            <w:r>
              <w:rPr>
                <w:rFonts w:ascii="Times New Roman" w:hAnsi="Times New Roman" w:eastAsia="宋体"/>
                <w:b/>
                <w:sz w:val="20"/>
              </w:rPr>
              <w:t>实施内容</w:t>
            </w:r>
          </w:p>
        </w:tc>
        <w:tc>
          <w:tcPr>
            <w:tcW w:w="323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5958908">
            <w:pPr>
              <w:keepNext/>
              <w:spacing w:after="40" w:line="276" w:lineRule="auto"/>
              <w:rPr>
                <w:rFonts w:hint="eastAsia"/>
              </w:rPr>
            </w:pPr>
            <w:r>
              <w:rPr>
                <w:rFonts w:ascii="Times New Roman" w:hAnsi="Times New Roman" w:eastAsia="宋体"/>
                <w:b/>
                <w:sz w:val="20"/>
              </w:rPr>
              <w:t>主要记录</w:t>
            </w:r>
          </w:p>
        </w:tc>
      </w:tr>
      <w:tr w14:paraId="0B6A181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687C7D0">
            <w:pPr>
              <w:keepNext/>
              <w:spacing w:after="40" w:line="276" w:lineRule="auto"/>
              <w:rPr>
                <w:rFonts w:hint="eastAsia"/>
              </w:rPr>
            </w:pPr>
            <w:r>
              <w:rPr>
                <w:rFonts w:ascii="Times New Roman" w:hAnsi="Times New Roman" w:eastAsia="宋体"/>
                <w:sz w:val="20"/>
              </w:rPr>
              <w:t>前测与分组</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096408">
            <w:pPr>
              <w:keepNext/>
              <w:spacing w:after="40" w:line="276" w:lineRule="auto"/>
              <w:rPr>
                <w:rFonts w:hint="eastAsia"/>
              </w:rPr>
            </w:pPr>
            <w:r>
              <w:rPr>
                <w:rFonts w:ascii="Times New Roman" w:hAnsi="Times New Roman" w:eastAsia="宋体"/>
                <w:sz w:val="20"/>
              </w:rPr>
              <w:t>评估初始知识与新情境能力，尽可能随机分组</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4F6F35">
            <w:pPr>
              <w:keepNext/>
              <w:spacing w:after="40" w:line="276" w:lineRule="auto"/>
              <w:rPr>
                <w:rFonts w:hint="eastAsia"/>
              </w:rPr>
            </w:pPr>
            <w:r>
              <w:rPr>
                <w:rFonts w:ascii="Times New Roman" w:hAnsi="Times New Roman" w:eastAsia="宋体"/>
                <w:sz w:val="20"/>
              </w:rPr>
              <w:t>基线成绩、既有经验与缺失情况</w:t>
            </w:r>
          </w:p>
        </w:tc>
      </w:tr>
      <w:tr w14:paraId="20CF4924">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02B5ABE">
            <w:pPr>
              <w:keepNext/>
              <w:spacing w:after="40" w:line="276" w:lineRule="auto"/>
              <w:rPr>
                <w:rFonts w:hint="eastAsia"/>
              </w:rPr>
            </w:pPr>
            <w:r>
              <w:rPr>
                <w:rFonts w:ascii="Times New Roman" w:hAnsi="Times New Roman" w:eastAsia="宋体"/>
                <w:sz w:val="20"/>
              </w:rPr>
              <w:t>A组 基础学习</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44CE78">
            <w:pPr>
              <w:keepNext/>
              <w:spacing w:after="40" w:line="276" w:lineRule="auto"/>
              <w:rPr>
                <w:rFonts w:hint="eastAsia"/>
              </w:rPr>
            </w:pPr>
            <w:r>
              <w:rPr>
                <w:rFonts w:ascii="Times New Roman" w:hAnsi="Times New Roman" w:eastAsia="宋体"/>
                <w:sz w:val="20"/>
              </w:rPr>
              <w:t>知识资料与收支记录</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CB181D9">
            <w:pPr>
              <w:keepNext/>
              <w:spacing w:after="40" w:line="276" w:lineRule="auto"/>
              <w:rPr>
                <w:rFonts w:hint="eastAsia"/>
              </w:rPr>
            </w:pPr>
            <w:r>
              <w:rPr>
                <w:rFonts w:ascii="Times New Roman" w:hAnsi="Times New Roman" w:eastAsia="宋体"/>
                <w:sz w:val="20"/>
              </w:rPr>
              <w:t>作为基础方式参照</w:t>
            </w:r>
          </w:p>
        </w:tc>
      </w:tr>
      <w:tr w14:paraId="3E4886BF">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5B7EE">
            <w:pPr>
              <w:keepNext/>
              <w:spacing w:after="40" w:line="276" w:lineRule="auto"/>
              <w:rPr>
                <w:rFonts w:hint="eastAsia"/>
              </w:rPr>
            </w:pPr>
            <w:r>
              <w:rPr>
                <w:rFonts w:ascii="Times New Roman" w:hAnsi="Times New Roman" w:eastAsia="宋体"/>
                <w:sz w:val="20"/>
              </w:rPr>
              <w:t>B组 计算解释</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DF4BC">
            <w:pPr>
              <w:keepNext/>
              <w:spacing w:after="40" w:line="276" w:lineRule="auto"/>
              <w:rPr>
                <w:rFonts w:hint="eastAsia"/>
              </w:rPr>
            </w:pPr>
            <w:r>
              <w:rPr>
                <w:rFonts w:ascii="Times New Roman" w:hAnsi="Times New Roman" w:eastAsia="宋体"/>
                <w:sz w:val="20"/>
              </w:rPr>
              <w:t>在A组基础上增加确定性工具与固定模板解释</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02B0E1">
            <w:pPr>
              <w:keepNext/>
              <w:spacing w:after="40" w:line="276" w:lineRule="auto"/>
              <w:rPr>
                <w:rFonts w:hint="eastAsia"/>
              </w:rPr>
            </w:pPr>
            <w:r>
              <w:rPr>
                <w:rFonts w:ascii="Times New Roman" w:hAnsi="Times New Roman" w:eastAsia="宋体"/>
                <w:sz w:val="20"/>
              </w:rPr>
              <w:t>检验个人数据与工具的增量价值</w:t>
            </w:r>
          </w:p>
        </w:tc>
      </w:tr>
      <w:tr w14:paraId="4B8870B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F663383">
            <w:pPr>
              <w:keepNext/>
              <w:spacing w:after="40" w:line="276" w:lineRule="auto"/>
              <w:rPr>
                <w:rFonts w:hint="eastAsia"/>
              </w:rPr>
            </w:pPr>
            <w:r>
              <w:rPr>
                <w:rFonts w:ascii="Times New Roman" w:hAnsi="Times New Roman" w:eastAsia="宋体"/>
                <w:sz w:val="20"/>
              </w:rPr>
              <w:t>C组 完整平台</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D31889">
            <w:pPr>
              <w:keepNext/>
              <w:spacing w:after="40" w:line="276" w:lineRule="auto"/>
              <w:rPr>
                <w:rFonts w:hint="eastAsia"/>
              </w:rPr>
            </w:pPr>
            <w:r>
              <w:rPr>
                <w:rFonts w:ascii="Times New Roman" w:hAnsi="Times New Roman" w:eastAsia="宋体"/>
                <w:sz w:val="20"/>
              </w:rPr>
              <w:t>在B组基础上使用AI教练与个性化推荐</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6101A1">
            <w:pPr>
              <w:keepNext/>
              <w:spacing w:after="40" w:line="276" w:lineRule="auto"/>
              <w:rPr>
                <w:rFonts w:hint="eastAsia"/>
              </w:rPr>
            </w:pPr>
            <w:r>
              <w:rPr>
                <w:rFonts w:ascii="Times New Roman" w:hAnsi="Times New Roman" w:eastAsia="宋体"/>
                <w:sz w:val="20"/>
              </w:rPr>
              <w:t>检验完整AI支持方案的增量价值</w:t>
            </w:r>
          </w:p>
        </w:tc>
      </w:tr>
      <w:tr w14:paraId="6143985D">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C597758">
            <w:pPr>
              <w:keepNext/>
              <w:spacing w:after="40" w:line="276" w:lineRule="auto"/>
              <w:rPr>
                <w:rFonts w:hint="eastAsia"/>
              </w:rPr>
            </w:pPr>
            <w:r>
              <w:rPr>
                <w:rFonts w:ascii="Times New Roman" w:hAnsi="Times New Roman" w:eastAsia="宋体"/>
                <w:sz w:val="20"/>
              </w:rPr>
              <w:t>4周实践与后测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445AC4">
            <w:pPr>
              <w:keepNext/>
              <w:spacing w:after="40" w:line="276" w:lineRule="auto"/>
              <w:rPr>
                <w:rFonts w:hint="eastAsia"/>
              </w:rPr>
            </w:pPr>
            <w:r>
              <w:rPr>
                <w:rFonts w:ascii="Times New Roman" w:hAnsi="Times New Roman" w:eastAsia="宋体"/>
                <w:sz w:val="20"/>
              </w:rPr>
              <w:t>相近学习任务与不同等值题目</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C5AC4FB">
            <w:pPr>
              <w:keepNext/>
              <w:spacing w:after="40" w:line="276" w:lineRule="auto"/>
              <w:rPr>
                <w:rFonts w:hint="eastAsia"/>
              </w:rPr>
            </w:pPr>
            <w:r>
              <w:rPr>
                <w:rFonts w:ascii="Times New Roman" w:hAnsi="Times New Roman" w:eastAsia="宋体"/>
                <w:sz w:val="20"/>
              </w:rPr>
              <w:t>知识理解、预算安排与理由说明</w:t>
            </w:r>
          </w:p>
        </w:tc>
      </w:tr>
      <w:tr w14:paraId="43B0DDB7">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39170D">
            <w:pPr>
              <w:spacing w:after="40" w:line="276" w:lineRule="auto"/>
              <w:rPr>
                <w:rFonts w:hint="eastAsia"/>
              </w:rPr>
            </w:pPr>
            <w:r>
              <w:rPr>
                <w:rFonts w:ascii="Times New Roman" w:hAnsi="Times New Roman" w:eastAsia="宋体"/>
                <w:sz w:val="20"/>
              </w:rPr>
              <w:t>2周后延迟测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3643D0">
            <w:pPr>
              <w:spacing w:after="40" w:line="276" w:lineRule="auto"/>
              <w:rPr>
                <w:rFonts w:hint="eastAsia"/>
              </w:rPr>
            </w:pPr>
            <w:r>
              <w:rPr>
                <w:rFonts w:ascii="Times New Roman" w:hAnsi="Times New Roman" w:eastAsia="宋体"/>
                <w:sz w:val="20"/>
              </w:rPr>
              <w:t>减少提示，完成未见过的财务情境</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D4403B">
            <w:pPr>
              <w:spacing w:after="40" w:line="276" w:lineRule="auto"/>
              <w:rPr>
                <w:rFonts w:hint="eastAsia"/>
              </w:rPr>
            </w:pPr>
            <w:r>
              <w:rPr>
                <w:rFonts w:ascii="Times New Roman" w:hAnsi="Times New Roman" w:eastAsia="宋体"/>
                <w:sz w:val="20"/>
              </w:rPr>
              <w:t>保持情况与独立迁移能力</w:t>
            </w:r>
          </w:p>
        </w:tc>
      </w:tr>
    </w:tbl>
    <w:p w14:paraId="73369DDA">
      <w:pPr>
        <w:ind w:firstLine="420"/>
        <w:rPr>
          <w:rFonts w:hint="eastAsia"/>
        </w:rPr>
      </w:pPr>
    </w:p>
    <w:p w14:paraId="1152B56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主要指标为新情境任务表现，按预算约束、替代用途、未来开支和风险依据评分，知识与态度为辅助维度。框架结合大学生情境重新适配，不直接沿用PISA面向15岁学生的题目与阈值；自编问卷和“心智评估”作学习引导，不宣称为已验证的标准量表。</w:t>
      </w:r>
      <w:r>
        <w:rPr>
          <w:rFonts w:ascii="Times New Roman" w:hAnsi="Times New Roman"/>
          <w:sz w:val="18"/>
          <w:vertAlign w:val="superscript"/>
        </w:rPr>
        <w:t>[14]</w:t>
      </w:r>
    </w:p>
    <w:p w14:paraId="01ACB85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报告组内变化、组间差异、效应量、置信区间及退出缺失情况。C组同时加入教练和推荐，结果不能归因于单一算法，还需各自的检索对照与推荐消融支持。不以消费下降作为唯一成功标准。</w:t>
      </w:r>
    </w:p>
    <w:p w14:paraId="1BFD9B9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38BDEE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8BBC3E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CFA07B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5E7EB9B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0BBC2E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B41D0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57C0FB7">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87C625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EA0DF8A">
      <w:pPr>
        <w:pStyle w:val="2"/>
      </w:pPr>
      <w:bookmarkStart w:id="302" w:name="_Toc242962141"/>
      <w:bookmarkStart w:id="301" w:name="_Toc242910607"/>
      <w:r>
        <w:t>项目实施与推广</w:t>
      </w:r>
      <w:bookmarkEnd w:id="301"/>
      <w:bookmarkEnd w:id="302"/>
    </w:p>
    <w:p w14:paraId="6CAC843A">
      <w:pPr>
        <w:pStyle w:val="3"/>
        <w:rPr>
          <w:rFonts w:hint="default"/>
        </w:rPr>
      </w:pPr>
      <w:bookmarkStart w:id="304" w:name="_Toc242962142"/>
      <w:bookmarkStart w:id="303" w:name="_Toc242910608"/>
      <w:r>
        <w:t>5.1 部署条件与资源成本</w:t>
      </w:r>
      <w:bookmarkEnd w:id="303"/>
      <w:bookmarkEnd w:id="304"/>
    </w:p>
    <w:p w14:paraId="31598FC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地演示需要与项目依赖兼容的Python、Node.js和浏览器，统一启动器完成环境检查与前后端启动。核心计算不依赖外部大模型；启用AI教练、语音录入和HSTU时分别配置对应服务。实际校园试用需关闭模拟登录，配置真实认证、持久化数据库、HTTPS和受限管理权限，并确认备份恢复及数据删除流程。</w:t>
      </w:r>
    </w:p>
    <w:p w14:paraId="53ED4538">
      <w:pPr>
        <w:pStyle w:val="7"/>
        <w:keepNext/>
        <w:jc w:val="center"/>
      </w:pPr>
      <w:r>
        <w:t>表5-1 资源配置与成本口径</w:t>
      </w:r>
    </w:p>
    <w:tbl>
      <w:tblPr>
        <w:tblStyle w:val="19"/>
        <w:tblW w:w="0" w:type="auto"/>
        <w:jc w:val="center"/>
        <w:tblLayout w:type="fixed"/>
        <w:tblCellMar>
          <w:top w:w="0" w:type="dxa"/>
          <w:left w:w="108" w:type="dxa"/>
          <w:bottom w:w="0" w:type="dxa"/>
          <w:right w:w="108" w:type="dxa"/>
        </w:tblCellMar>
      </w:tblPr>
      <w:tblGrid>
        <w:gridCol w:w="1814"/>
        <w:gridCol w:w="3969"/>
        <w:gridCol w:w="3458"/>
      </w:tblGrid>
      <w:tr w14:paraId="53A85CA9">
        <w:tblPrEx>
          <w:tblCellMar>
            <w:top w:w="0" w:type="dxa"/>
            <w:left w:w="108" w:type="dxa"/>
            <w:bottom w:w="0" w:type="dxa"/>
            <w:right w:w="108" w:type="dxa"/>
          </w:tblCellMar>
        </w:tblPrEx>
        <w:trPr>
          <w:cantSplit/>
          <w:tblHeader/>
          <w:jc w:val="center"/>
        </w:trPr>
        <w:tc>
          <w:tcPr>
            <w:tcW w:w="1814"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0854837">
            <w:pPr>
              <w:keepNext/>
              <w:spacing w:after="40" w:line="276" w:lineRule="auto"/>
              <w:rPr>
                <w:rFonts w:hint="eastAsia"/>
              </w:rPr>
            </w:pPr>
            <w:r>
              <w:rPr>
                <w:rFonts w:ascii="Times New Roman" w:hAnsi="Times New Roman" w:eastAsia="宋体"/>
                <w:b/>
                <w:sz w:val="20"/>
              </w:rPr>
              <w:t>资源</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4303BC6">
            <w:pPr>
              <w:keepNext/>
              <w:spacing w:after="40" w:line="276" w:lineRule="auto"/>
              <w:rPr>
                <w:rFonts w:hint="eastAsia"/>
              </w:rPr>
            </w:pPr>
            <w:r>
              <w:rPr>
                <w:rFonts w:ascii="Times New Roman" w:hAnsi="Times New Roman" w:eastAsia="宋体"/>
                <w:b/>
                <w:sz w:val="20"/>
              </w:rPr>
              <w:t>校园原型配置思路</w:t>
            </w:r>
          </w:p>
        </w:tc>
        <w:tc>
          <w:tcPr>
            <w:tcW w:w="345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971F3F1">
            <w:pPr>
              <w:keepNext/>
              <w:spacing w:after="40" w:line="276" w:lineRule="auto"/>
              <w:rPr>
                <w:rFonts w:hint="eastAsia"/>
              </w:rPr>
            </w:pPr>
            <w:r>
              <w:rPr>
                <w:rFonts w:ascii="Times New Roman" w:hAnsi="Times New Roman" w:eastAsia="宋体"/>
                <w:b/>
                <w:sz w:val="20"/>
              </w:rPr>
              <w:t>核算方法</w:t>
            </w:r>
          </w:p>
        </w:tc>
      </w:tr>
      <w:tr w14:paraId="72203B48">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CF79FC0">
            <w:pPr>
              <w:keepNext/>
              <w:spacing w:after="40" w:line="276" w:lineRule="auto"/>
              <w:rPr>
                <w:rFonts w:hint="eastAsia"/>
              </w:rPr>
            </w:pPr>
            <w:r>
              <w:rPr>
                <w:rFonts w:ascii="Times New Roman" w:hAnsi="Times New Roman" w:eastAsia="宋体"/>
                <w:sz w:val="20"/>
              </w:rPr>
              <w:t>前后端与存储</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B87938">
            <w:pPr>
              <w:keepNext/>
              <w:spacing w:after="40" w:line="276" w:lineRule="auto"/>
              <w:rPr>
                <w:rFonts w:hint="eastAsia"/>
              </w:rPr>
            </w:pPr>
            <w:r>
              <w:rPr>
                <w:rFonts w:ascii="Times New Roman" w:hAnsi="Times New Roman" w:eastAsia="宋体"/>
                <w:sz w:val="20"/>
              </w:rPr>
              <w:t>单实例业务服务与持久化数据库，按规模扩展</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A0F258C">
            <w:pPr>
              <w:keepNext/>
              <w:spacing w:after="40" w:line="276" w:lineRule="auto"/>
              <w:rPr>
                <w:rFonts w:hint="eastAsia"/>
              </w:rPr>
            </w:pPr>
            <w:r>
              <w:rPr>
                <w:rFonts w:ascii="Times New Roman" w:hAnsi="Times New Roman" w:eastAsia="宋体"/>
                <w:sz w:val="20"/>
              </w:rPr>
              <w:t>服务器 存储 备份的实际账单</w:t>
            </w:r>
          </w:p>
        </w:tc>
      </w:tr>
      <w:tr w14:paraId="7589B46F">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8F27AD">
            <w:pPr>
              <w:keepNext/>
              <w:spacing w:after="40" w:line="276" w:lineRule="auto"/>
              <w:rPr>
                <w:rFonts w:hint="eastAsia"/>
              </w:rPr>
            </w:pPr>
            <w:r>
              <w:rPr>
                <w:rFonts w:ascii="Times New Roman" w:hAnsi="Times New Roman" w:eastAsia="宋体"/>
                <w:sz w:val="20"/>
              </w:rPr>
              <w:t>大模型解释</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F1EEB0">
            <w:pPr>
              <w:keepNext/>
              <w:spacing w:after="40" w:line="276" w:lineRule="auto"/>
              <w:rPr>
                <w:rFonts w:hint="eastAsia"/>
              </w:rPr>
            </w:pPr>
            <w:r>
              <w:rPr>
                <w:rFonts w:ascii="Times New Roman" w:hAnsi="Times New Roman" w:eastAsia="宋体"/>
                <w:sz w:val="20"/>
              </w:rPr>
              <w:t>按需调用，限制无必要上下文与重复请求</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5EC3C8">
            <w:pPr>
              <w:keepNext/>
              <w:spacing w:after="40" w:line="276" w:lineRule="auto"/>
              <w:rPr>
                <w:rFonts w:hint="eastAsia"/>
              </w:rPr>
            </w:pPr>
            <w:r>
              <w:rPr>
                <w:rFonts w:ascii="Times New Roman" w:hAnsi="Times New Roman" w:eastAsia="宋体"/>
                <w:sz w:val="20"/>
              </w:rPr>
              <w:t>请求数×平均输入输出量×服务单价</w:t>
            </w:r>
          </w:p>
        </w:tc>
      </w:tr>
      <w:tr w14:paraId="18049C42">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EDBEBED">
            <w:pPr>
              <w:keepNext/>
              <w:spacing w:after="40" w:line="276" w:lineRule="auto"/>
              <w:rPr>
                <w:rFonts w:hint="eastAsia"/>
              </w:rPr>
            </w:pPr>
            <w:r>
              <w:rPr>
                <w:rFonts w:ascii="Times New Roman" w:hAnsi="Times New Roman" w:eastAsia="宋体"/>
                <w:sz w:val="20"/>
              </w:rPr>
              <w:t>知识检索</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6C8A1">
            <w:pPr>
              <w:keepNext/>
              <w:spacing w:after="40" w:line="276" w:lineRule="auto"/>
              <w:rPr>
                <w:rFonts w:hint="eastAsia"/>
              </w:rPr>
            </w:pPr>
            <w:r>
              <w:rPr>
                <w:rFonts w:ascii="Times New Roman" w:hAnsi="Times New Roman" w:eastAsia="宋体"/>
                <w:sz w:val="20"/>
              </w:rPr>
              <w:t>小规模审核知识库，索引与模型版本固定</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7B80AF">
            <w:pPr>
              <w:keepNext/>
              <w:spacing w:after="40" w:line="276" w:lineRule="auto"/>
              <w:rPr>
                <w:rFonts w:hint="eastAsia"/>
              </w:rPr>
            </w:pPr>
            <w:r>
              <w:rPr>
                <w:rFonts w:ascii="Times New Roman" w:hAnsi="Times New Roman" w:eastAsia="宋体"/>
                <w:sz w:val="20"/>
              </w:rPr>
              <w:t>嵌入与精排的计算 存储 更新成本</w:t>
            </w:r>
          </w:p>
        </w:tc>
      </w:tr>
      <w:tr w14:paraId="33C393EE">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3EB4BEC">
            <w:pPr>
              <w:keepNext/>
              <w:spacing w:after="40" w:line="276" w:lineRule="auto"/>
              <w:rPr>
                <w:rFonts w:hint="eastAsia"/>
              </w:rPr>
            </w:pPr>
            <w:r>
              <w:rPr>
                <w:rFonts w:ascii="Times New Roman" w:hAnsi="Times New Roman" w:eastAsia="宋体"/>
                <w:sz w:val="20"/>
              </w:rPr>
              <w:t>HSTU服务</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4CC5C32">
            <w:pPr>
              <w:keepNext/>
              <w:spacing w:after="40" w:line="276" w:lineRule="auto"/>
              <w:rPr>
                <w:rFonts w:hint="eastAsia"/>
              </w:rPr>
            </w:pPr>
            <w:r>
              <w:rPr>
                <w:rFonts w:ascii="Times New Roman" w:hAnsi="Times New Roman" w:eastAsia="宋体"/>
                <w:sz w:val="20"/>
              </w:rPr>
              <w:t>与业务服务分离，依据验证选择模型规模</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EF9E498">
            <w:pPr>
              <w:keepNext/>
              <w:spacing w:after="40" w:line="276" w:lineRule="auto"/>
              <w:rPr>
                <w:rFonts w:hint="eastAsia"/>
              </w:rPr>
            </w:pPr>
            <w:r>
              <w:rPr>
                <w:rFonts w:ascii="Times New Roman" w:hAnsi="Times New Roman" w:eastAsia="宋体"/>
                <w:sz w:val="20"/>
              </w:rPr>
              <w:t>推理资源时长 训练维护与数据标注</w:t>
            </w:r>
          </w:p>
        </w:tc>
      </w:tr>
      <w:tr w14:paraId="433D64D7">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0EDCD6">
            <w:pPr>
              <w:spacing w:after="40" w:line="276" w:lineRule="auto"/>
              <w:rPr>
                <w:rFonts w:hint="eastAsia"/>
              </w:rPr>
            </w:pPr>
            <w:r>
              <w:rPr>
                <w:rFonts w:ascii="Times New Roman" w:hAnsi="Times New Roman" w:eastAsia="宋体"/>
                <w:sz w:val="20"/>
              </w:rPr>
              <w:t>内容与研究</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3AF39A">
            <w:pPr>
              <w:spacing w:after="40" w:line="276" w:lineRule="auto"/>
              <w:rPr>
                <w:rFonts w:hint="eastAsia"/>
              </w:rPr>
            </w:pPr>
            <w:r>
              <w:rPr>
                <w:rFonts w:ascii="Times New Roman" w:hAnsi="Times New Roman" w:eastAsia="宋体"/>
                <w:sz w:val="20"/>
              </w:rPr>
              <w:t>知识和单集审核，任务评分与试用支持</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A05083">
            <w:pPr>
              <w:spacing w:after="40" w:line="276" w:lineRule="auto"/>
              <w:rPr>
                <w:rFonts w:hint="eastAsia"/>
              </w:rPr>
            </w:pPr>
            <w:r>
              <w:rPr>
                <w:rFonts w:ascii="Times New Roman" w:hAnsi="Times New Roman" w:eastAsia="宋体"/>
                <w:sz w:val="20"/>
              </w:rPr>
              <w:t>人员工时及实际研究支出</w:t>
            </w:r>
          </w:p>
        </w:tc>
      </w:tr>
    </w:tbl>
    <w:p w14:paraId="25526F3D">
      <w:pPr>
        <w:ind w:firstLine="420"/>
        <w:rPr>
          <w:rFonts w:hint="eastAsia"/>
        </w:rPr>
      </w:pPr>
    </w:p>
    <w:p w14:paraId="668236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成本判断以真实调用与部署测量为依据。试用前先用小规模资源测量单用户调用量、延迟与维护负担，再确定容量；HSTU采用与校园数据量相匹配的规模，只有相对基线获得可重复收益且成本可承受时，才扩大应用。现阶段不以未经验证的活跃转化率估计用户或收入。</w:t>
      </w:r>
    </w:p>
    <w:p w14:paraId="2C738C53">
      <w:pPr>
        <w:pStyle w:val="3"/>
        <w:rPr>
          <w:rFonts w:hint="default"/>
        </w:rPr>
      </w:pPr>
      <w:bookmarkStart w:id="306" w:name="_Toc242962143"/>
      <w:bookmarkStart w:id="305" w:name="_Toc242910609"/>
      <w:r>
        <w:t>5.2 实施计划与团队协作</w:t>
      </w:r>
      <w:bookmarkEnd w:id="305"/>
      <w:bookmarkEnd w:id="306"/>
    </w:p>
    <w:p w14:paraId="67DB2278">
      <w:pPr>
        <w:pStyle w:val="7"/>
        <w:keepNext/>
        <w:jc w:val="center"/>
      </w:pPr>
      <w:r>
        <w:t>表5-2 后续实施安排</w:t>
      </w:r>
    </w:p>
    <w:tbl>
      <w:tblPr>
        <w:tblStyle w:val="19"/>
        <w:tblW w:w="0" w:type="auto"/>
        <w:jc w:val="center"/>
        <w:tblLayout w:type="fixed"/>
        <w:tblCellMar>
          <w:top w:w="0" w:type="dxa"/>
          <w:left w:w="108" w:type="dxa"/>
          <w:bottom w:w="0" w:type="dxa"/>
          <w:right w:w="108" w:type="dxa"/>
        </w:tblCellMar>
      </w:tblPr>
      <w:tblGrid>
        <w:gridCol w:w="2041"/>
        <w:gridCol w:w="1701"/>
        <w:gridCol w:w="5499"/>
      </w:tblGrid>
      <w:tr w14:paraId="6DBFFAB8">
        <w:tblPrEx>
          <w:tblCellMar>
            <w:top w:w="0" w:type="dxa"/>
            <w:left w:w="108" w:type="dxa"/>
            <w:bottom w:w="0" w:type="dxa"/>
            <w:right w:w="108" w:type="dxa"/>
          </w:tblCellMar>
        </w:tblPrEx>
        <w:trPr>
          <w:cantSplit/>
          <w:tblHeader/>
          <w:jc w:val="center"/>
        </w:trPr>
        <w:tc>
          <w:tcPr>
            <w:tcW w:w="204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CC63906">
            <w:pPr>
              <w:keepNext/>
              <w:spacing w:after="40" w:line="276" w:lineRule="auto"/>
              <w:rPr>
                <w:rFonts w:hint="eastAsia"/>
              </w:rPr>
            </w:pPr>
            <w:r>
              <w:rPr>
                <w:rFonts w:ascii="Times New Roman" w:hAnsi="Times New Roman" w:eastAsia="宋体"/>
                <w:b/>
                <w:sz w:val="20"/>
              </w:rPr>
              <w:t>阶段</w:t>
            </w:r>
          </w:p>
        </w:tc>
        <w:tc>
          <w:tcPr>
            <w:tcW w:w="170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B867671">
            <w:pPr>
              <w:keepNext/>
              <w:spacing w:after="40" w:line="276" w:lineRule="auto"/>
              <w:rPr>
                <w:rFonts w:hint="eastAsia"/>
              </w:rPr>
            </w:pPr>
            <w:r>
              <w:rPr>
                <w:rFonts w:ascii="Times New Roman" w:hAnsi="Times New Roman" w:eastAsia="宋体"/>
                <w:b/>
                <w:sz w:val="20"/>
              </w:rPr>
              <w:t>拟定周期</w:t>
            </w:r>
          </w:p>
        </w:tc>
        <w:tc>
          <w:tcPr>
            <w:tcW w:w="549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07AB008">
            <w:pPr>
              <w:keepNext/>
              <w:spacing w:after="40" w:line="276" w:lineRule="auto"/>
              <w:rPr>
                <w:rFonts w:hint="eastAsia"/>
              </w:rPr>
            </w:pPr>
            <w:r>
              <w:rPr>
                <w:rFonts w:ascii="Times New Roman" w:hAnsi="Times New Roman" w:eastAsia="宋体"/>
                <w:b/>
                <w:sz w:val="20"/>
              </w:rPr>
              <w:t>任务与验收依据</w:t>
            </w:r>
          </w:p>
        </w:tc>
      </w:tr>
      <w:tr w14:paraId="13751282">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02608C">
            <w:pPr>
              <w:keepNext/>
              <w:spacing w:after="40" w:line="276" w:lineRule="auto"/>
              <w:rPr>
                <w:rFonts w:hint="eastAsia"/>
              </w:rPr>
            </w:pPr>
            <w:r>
              <w:rPr>
                <w:rFonts w:ascii="Times New Roman" w:hAnsi="Times New Roman" w:eastAsia="宋体"/>
                <w:sz w:val="20"/>
              </w:rPr>
              <w:t>版本固化与复核</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3ED6DD">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C5CDCD">
            <w:pPr>
              <w:keepNext/>
              <w:spacing w:after="40" w:line="276" w:lineRule="auto"/>
              <w:rPr>
                <w:rFonts w:hint="eastAsia"/>
              </w:rPr>
            </w:pPr>
            <w:r>
              <w:rPr>
                <w:rFonts w:ascii="Times New Roman" w:hAnsi="Times New Roman" w:eastAsia="宋体"/>
                <w:sz w:val="20"/>
              </w:rPr>
              <w:t>固定升级模块版本、参数和依赖；补全独立题集及真实模型联调记录</w:t>
            </w:r>
          </w:p>
        </w:tc>
      </w:tr>
      <w:tr w14:paraId="28C07E70">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53C153">
            <w:pPr>
              <w:keepNext/>
              <w:spacing w:after="40" w:line="276" w:lineRule="auto"/>
              <w:rPr>
                <w:rFonts w:hint="eastAsia"/>
              </w:rPr>
            </w:pPr>
            <w:r>
              <w:rPr>
                <w:rFonts w:ascii="Times New Roman" w:hAnsi="Times New Roman" w:eastAsia="宋体"/>
                <w:sz w:val="20"/>
              </w:rPr>
              <w:t>先导试用</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2C3430">
            <w:pPr>
              <w:keepNext/>
              <w:spacing w:after="40" w:line="276" w:lineRule="auto"/>
              <w:rPr>
                <w:rFonts w:hint="eastAsia"/>
              </w:rPr>
            </w:pPr>
            <w:r>
              <w:rPr>
                <w:rFonts w:ascii="Times New Roman" w:hAnsi="Times New Roman" w:eastAsia="宋体"/>
                <w:sz w:val="20"/>
              </w:rPr>
              <w:t>2—3周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DB07A0">
            <w:pPr>
              <w:keepNext/>
              <w:spacing w:after="40" w:line="276" w:lineRule="auto"/>
              <w:rPr>
                <w:rFonts w:hint="eastAsia"/>
              </w:rPr>
            </w:pPr>
            <w:r>
              <w:rPr>
                <w:rFonts w:ascii="Times New Roman" w:hAnsi="Times New Roman" w:eastAsia="宋体"/>
                <w:sz w:val="20"/>
              </w:rPr>
              <w:t>小范围自愿体验；核查任务理解、录入负担与退出原因</w:t>
            </w:r>
          </w:p>
        </w:tc>
      </w:tr>
      <w:tr w14:paraId="312A9E59">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F4528">
            <w:pPr>
              <w:keepNext/>
              <w:spacing w:after="40" w:line="276" w:lineRule="auto"/>
              <w:rPr>
                <w:rFonts w:hint="eastAsia"/>
              </w:rPr>
            </w:pPr>
            <w:r>
              <w:rPr>
                <w:rFonts w:ascii="Times New Roman" w:hAnsi="Times New Roman" w:eastAsia="宋体"/>
                <w:sz w:val="20"/>
              </w:rPr>
              <w:t>方案修订</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3CD11C1">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2F0DA1">
            <w:pPr>
              <w:keepNext/>
              <w:spacing w:after="40" w:line="276" w:lineRule="auto"/>
              <w:rPr>
                <w:rFonts w:hint="eastAsia"/>
              </w:rPr>
            </w:pPr>
            <w:r>
              <w:rPr>
                <w:rFonts w:ascii="Times New Roman" w:hAnsi="Times New Roman" w:eastAsia="宋体"/>
                <w:sz w:val="20"/>
              </w:rPr>
              <w:t>修订交互与内容；冻结正式试验版本、指标和分析方案</w:t>
            </w:r>
          </w:p>
        </w:tc>
      </w:tr>
      <w:tr w14:paraId="26EBF2F6">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099366">
            <w:pPr>
              <w:keepNext/>
              <w:spacing w:after="40" w:line="276" w:lineRule="auto"/>
              <w:rPr>
                <w:rFonts w:hint="eastAsia"/>
              </w:rPr>
            </w:pPr>
            <w:r>
              <w:rPr>
                <w:rFonts w:ascii="Times New Roman" w:hAnsi="Times New Roman" w:eastAsia="宋体"/>
                <w:sz w:val="20"/>
              </w:rPr>
              <w:t>正式对照与延迟测</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688C71">
            <w:pPr>
              <w:keepNext/>
              <w:spacing w:after="40" w:line="276" w:lineRule="auto"/>
              <w:rPr>
                <w:rFonts w:hint="eastAsia"/>
              </w:rPr>
            </w:pPr>
            <w:r>
              <w:rPr>
                <w:rFonts w:ascii="Times New Roman" w:hAnsi="Times New Roman" w:eastAsia="宋体"/>
                <w:sz w:val="20"/>
              </w:rPr>
              <w:t>6周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E0A377">
            <w:pPr>
              <w:keepNext/>
              <w:spacing w:after="40" w:line="276" w:lineRule="auto"/>
              <w:rPr>
                <w:rFonts w:hint="eastAsia"/>
              </w:rPr>
            </w:pPr>
            <w:r>
              <w:rPr>
                <w:rFonts w:ascii="Times New Roman" w:hAnsi="Times New Roman" w:eastAsia="宋体"/>
                <w:sz w:val="20"/>
              </w:rPr>
              <w:t>4周实践加2周延迟观察；按方案收集数据并处理缺失</w:t>
            </w:r>
          </w:p>
        </w:tc>
      </w:tr>
      <w:tr w14:paraId="3FCD14DC">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D47BF8">
            <w:pPr>
              <w:spacing w:after="40" w:line="276" w:lineRule="auto"/>
              <w:rPr>
                <w:rFonts w:hint="eastAsia"/>
              </w:rPr>
            </w:pPr>
            <w:r>
              <w:rPr>
                <w:rFonts w:ascii="Times New Roman" w:hAnsi="Times New Roman" w:eastAsia="宋体"/>
                <w:sz w:val="20"/>
              </w:rPr>
              <w:t>复用评估</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A4A034">
            <w:pPr>
              <w:spacing w:after="40" w:line="276" w:lineRule="auto"/>
              <w:rPr>
                <w:rFonts w:hint="eastAsia"/>
              </w:rPr>
            </w:pPr>
            <w:r>
              <w:rPr>
                <w:rFonts w:ascii="Times New Roman" w:hAnsi="Times New Roman" w:eastAsia="宋体"/>
                <w:sz w:val="20"/>
              </w:rPr>
              <w:t>验证后开展</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A2ACD5">
            <w:pPr>
              <w:spacing w:after="40" w:line="276" w:lineRule="auto"/>
              <w:rPr>
                <w:rFonts w:hint="eastAsia"/>
              </w:rPr>
            </w:pPr>
            <w:r>
              <w:rPr>
                <w:rFonts w:ascii="Times New Roman" w:hAnsi="Times New Roman" w:eastAsia="宋体"/>
                <w:sz w:val="20"/>
              </w:rPr>
              <w:t>汇总效果、成本和适用边界，决定是否扩展院校</w:t>
            </w:r>
          </w:p>
        </w:tc>
      </w:tr>
    </w:tbl>
    <w:p w14:paraId="39A61F94">
      <w:pPr>
        <w:ind w:firstLine="420"/>
        <w:rPr>
          <w:rFonts w:hint="eastAsia"/>
        </w:rPr>
      </w:pPr>
    </w:p>
    <w:p w14:paraId="35163A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团队通过学科内容、工程实现和效果评价三类工作流协作。需求与指标先由共同评审确定；算法输出的字段和口径由接口契约固定；每次重要迭代同步内容版本、代码版本与测试记录。下表为按任务组织的拟定分工，成员具体负责范围在实施启动时共同确认。</w:t>
      </w:r>
    </w:p>
    <w:p w14:paraId="30D1C9A8">
      <w:pPr>
        <w:pStyle w:val="7"/>
        <w:keepNext/>
        <w:jc w:val="center"/>
      </w:pPr>
      <w:r>
        <w:t>表5-3 团队任务分工安排</w:t>
      </w:r>
    </w:p>
    <w:tbl>
      <w:tblPr>
        <w:tblStyle w:val="19"/>
        <w:tblW w:w="0" w:type="auto"/>
        <w:jc w:val="center"/>
        <w:tblLayout w:type="fixed"/>
        <w:tblCellMar>
          <w:top w:w="0" w:type="dxa"/>
          <w:left w:w="108" w:type="dxa"/>
          <w:bottom w:w="0" w:type="dxa"/>
          <w:right w:w="108" w:type="dxa"/>
        </w:tblCellMar>
      </w:tblPr>
      <w:tblGrid>
        <w:gridCol w:w="1417"/>
        <w:gridCol w:w="3969"/>
        <w:gridCol w:w="3855"/>
      </w:tblGrid>
      <w:tr w14:paraId="6CACAC43">
        <w:tblPrEx>
          <w:tblCellMar>
            <w:top w:w="0" w:type="dxa"/>
            <w:left w:w="108" w:type="dxa"/>
            <w:bottom w:w="0" w:type="dxa"/>
            <w:right w:w="108" w:type="dxa"/>
          </w:tblCellMar>
        </w:tblPrEx>
        <w:trPr>
          <w:cantSplit/>
          <w:tblHeader/>
          <w:jc w:val="center"/>
        </w:trPr>
        <w:tc>
          <w:tcPr>
            <w:tcW w:w="141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B320AF8">
            <w:pPr>
              <w:keepNext/>
              <w:spacing w:after="40" w:line="276" w:lineRule="auto"/>
              <w:rPr>
                <w:rFonts w:hint="eastAsia"/>
              </w:rPr>
            </w:pPr>
            <w:r>
              <w:rPr>
                <w:rFonts w:ascii="Times New Roman" w:hAnsi="Times New Roman" w:eastAsia="宋体"/>
                <w:b/>
                <w:sz w:val="20"/>
              </w:rPr>
              <w:t>成员</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9DBBD3C">
            <w:pPr>
              <w:keepNext/>
              <w:spacing w:after="40" w:line="276" w:lineRule="auto"/>
              <w:rPr>
                <w:rFonts w:hint="eastAsia"/>
              </w:rPr>
            </w:pPr>
            <w:r>
              <w:rPr>
                <w:rFonts w:ascii="Times New Roman" w:hAnsi="Times New Roman" w:eastAsia="宋体"/>
                <w:b/>
                <w:sz w:val="20"/>
              </w:rPr>
              <w:t>拟定主要职责</w:t>
            </w:r>
          </w:p>
        </w:tc>
        <w:tc>
          <w:tcPr>
            <w:tcW w:w="385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0DF78B6E">
            <w:pPr>
              <w:keepNext/>
              <w:spacing w:after="40" w:line="276" w:lineRule="auto"/>
              <w:rPr>
                <w:rFonts w:hint="eastAsia"/>
              </w:rPr>
            </w:pPr>
            <w:r>
              <w:rPr>
                <w:rFonts w:ascii="Times New Roman" w:hAnsi="Times New Roman" w:eastAsia="宋体"/>
                <w:b/>
                <w:sz w:val="20"/>
              </w:rPr>
              <w:t>交付与协作要求</w:t>
            </w:r>
          </w:p>
        </w:tc>
      </w:tr>
      <w:tr w14:paraId="078BCC54">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59741C">
            <w:pPr>
              <w:keepNext/>
              <w:spacing w:after="40" w:line="276" w:lineRule="auto"/>
              <w:rPr>
                <w:rFonts w:hint="eastAsia"/>
              </w:rPr>
            </w:pPr>
            <w:r>
              <w:rPr>
                <w:rFonts w:ascii="Times New Roman" w:hAnsi="Times New Roman" w:eastAsia="宋体"/>
                <w:sz w:val="20"/>
              </w:rPr>
              <w:t>宋鑫琳</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8340E">
            <w:pPr>
              <w:keepNext/>
              <w:spacing w:after="40" w:line="276" w:lineRule="auto"/>
              <w:rPr>
                <w:rFonts w:hint="eastAsia"/>
              </w:rPr>
            </w:pPr>
            <w:r>
              <w:rPr>
                <w:rFonts w:ascii="Times New Roman" w:hAnsi="Times New Roman" w:eastAsia="宋体"/>
                <w:sz w:val="20"/>
              </w:rPr>
              <w:t>项目统筹、学科需求与金融素养任务设计</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1EDC8">
            <w:pPr>
              <w:keepNext/>
              <w:spacing w:after="40" w:line="276" w:lineRule="auto"/>
              <w:rPr>
                <w:rFonts w:hint="eastAsia"/>
              </w:rPr>
            </w:pPr>
            <w:r>
              <w:rPr>
                <w:rFonts w:ascii="Times New Roman" w:hAnsi="Times New Roman" w:eastAsia="宋体"/>
                <w:sz w:val="20"/>
              </w:rPr>
              <w:t>形成需求 指标与项目材料，组织阶段评审</w:t>
            </w:r>
          </w:p>
        </w:tc>
      </w:tr>
      <w:tr w14:paraId="6751B0E1">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2A6E9C">
            <w:pPr>
              <w:keepNext/>
              <w:spacing w:after="40" w:line="276" w:lineRule="auto"/>
              <w:rPr>
                <w:rFonts w:hint="eastAsia"/>
              </w:rPr>
            </w:pPr>
            <w:r>
              <w:rPr>
                <w:rFonts w:ascii="Times New Roman" w:hAnsi="Times New Roman" w:eastAsia="宋体"/>
                <w:sz w:val="20"/>
              </w:rPr>
              <w:t>侯森宝</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E22414">
            <w:pPr>
              <w:keepNext/>
              <w:spacing w:after="40" w:line="276" w:lineRule="auto"/>
              <w:rPr>
                <w:rFonts w:hint="eastAsia"/>
              </w:rPr>
            </w:pPr>
            <w:r>
              <w:rPr>
                <w:rFonts w:ascii="Times New Roman" w:hAnsi="Times New Roman" w:eastAsia="宋体"/>
                <w:sz w:val="20"/>
              </w:rPr>
              <w:t>系统架构、财务计算与模型服务集成</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8EB8BA">
            <w:pPr>
              <w:keepNext/>
              <w:spacing w:after="40" w:line="276" w:lineRule="auto"/>
              <w:rPr>
                <w:rFonts w:hint="eastAsia"/>
              </w:rPr>
            </w:pPr>
            <w:r>
              <w:rPr>
                <w:rFonts w:ascii="Times New Roman" w:hAnsi="Times New Roman" w:eastAsia="宋体"/>
                <w:sz w:val="20"/>
              </w:rPr>
              <w:t>维护接口 数据口径与工程回归记录</w:t>
            </w:r>
          </w:p>
        </w:tc>
      </w:tr>
      <w:tr w14:paraId="683AEB99">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FB8493">
            <w:pPr>
              <w:spacing w:after="40" w:line="276" w:lineRule="auto"/>
              <w:rPr>
                <w:rFonts w:hint="eastAsia"/>
              </w:rPr>
            </w:pPr>
            <w:r>
              <w:rPr>
                <w:rFonts w:ascii="Times New Roman" w:hAnsi="Times New Roman" w:eastAsia="宋体"/>
                <w:sz w:val="20"/>
              </w:rPr>
              <w:t>李美涵</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319D744">
            <w:pPr>
              <w:spacing w:after="40" w:line="276" w:lineRule="auto"/>
              <w:rPr>
                <w:rFonts w:hint="eastAsia"/>
              </w:rPr>
            </w:pPr>
            <w:r>
              <w:rPr>
                <w:rFonts w:ascii="Times New Roman" w:hAnsi="Times New Roman" w:eastAsia="宋体"/>
                <w:sz w:val="20"/>
              </w:rPr>
              <w:t>内容审核、交互评估与试用数据整理</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6419B4">
            <w:pPr>
              <w:spacing w:after="40" w:line="276" w:lineRule="auto"/>
              <w:rPr>
                <w:rFonts w:hint="eastAsia"/>
              </w:rPr>
            </w:pPr>
            <w:r>
              <w:rPr>
                <w:rFonts w:ascii="Times New Roman" w:hAnsi="Times New Roman" w:eastAsia="宋体"/>
                <w:sz w:val="20"/>
              </w:rPr>
              <w:t>维护审核记录 评分规则与试用反馈</w:t>
            </w:r>
          </w:p>
        </w:tc>
      </w:tr>
    </w:tbl>
    <w:p w14:paraId="376D4B49">
      <w:pPr>
        <w:ind w:firstLine="420"/>
        <w:rPr>
          <w:rFonts w:hint="eastAsia"/>
        </w:rPr>
      </w:pPr>
    </w:p>
    <w:p w14:paraId="76EE0F46">
      <w:pPr>
        <w:pStyle w:val="3"/>
        <w:rPr>
          <w:rFonts w:hint="default"/>
        </w:rPr>
      </w:pPr>
      <w:bookmarkStart w:id="308" w:name="_Toc242962144"/>
      <w:bookmarkStart w:id="307" w:name="_Toc242910610"/>
      <w:r>
        <w:t>5.3 校园复用与数据使用边界</w:t>
      </w:r>
      <w:bookmarkEnd w:id="307"/>
      <w:bookmarkEnd w:id="308"/>
    </w:p>
    <w:p w14:paraId="25CCF5E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优先在班级、社团或金融素养实践活动中提供自愿试用，结合课程主题安排预算与资金取舍任务。跨校复用需要统一数据字段与计算口径、可维护的知识和音频目录、内容审核负责人、稳定部署资源，以及适用场景下的数据授权。收入结构、消费分类和教学任务应结合新院校重新检查。</w:t>
      </w:r>
    </w:p>
    <w:p w14:paraId="43017F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账单与对话可能反映个人生活习惯。系统按必要范围采集，个人记录参与教练分析前明确授权；研究数据使用单独的知情说明，采用研究编号与必要的去标识处理，参与者可退出。管理员运营功能与教学研究数据分开授权，不将个人消费明细直接作为学生评价依据；内容目录保留来源及使用权限记录。</w:t>
      </w:r>
    </w:p>
    <w:p w14:paraId="2B86EA4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平台提供金融知识与个人资金安排的学习辅助，不开展具体金融产品推介或投资收益承诺。知识资料中的风险教育不等于平台具备自动反诈识别能力。扩大服务范围、增加教师端或跨校研究时，先复核权限、内容规范与数据使用条件。</w:t>
      </w:r>
    </w:p>
    <w:p w14:paraId="71D6D6D9">
      <w:pPr>
        <w:pStyle w:val="2"/>
        <w:bidi w:val="0"/>
      </w:pPr>
      <w:bookmarkStart w:id="310" w:name="_Toc242962145"/>
      <w:bookmarkStart w:id="309" w:name="_Toc242910611"/>
      <w:r>
        <w:t>总结与展望</w:t>
      </w:r>
      <w:bookmarkEnd w:id="309"/>
      <w:bookmarkEnd w:id="310"/>
    </w:p>
    <w:p w14:paraId="59FD24FD">
      <w:pPr>
        <w:pStyle w:val="3"/>
        <w:rPr>
          <w:rFonts w:hint="default"/>
        </w:rPr>
      </w:pPr>
      <w:bookmarkStart w:id="312" w:name="_Toc242962146"/>
      <w:bookmarkStart w:id="311" w:name="_Toc242910612"/>
      <w:r>
        <w:t>6.1 项目成果与价值</w:t>
      </w:r>
      <w:bookmarkEnd w:id="311"/>
      <w:bookmarkEnd w:id="312"/>
    </w:p>
    <w:p w14:paraId="5F80D5F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大学生金融素养培养，把日常收支转化为可以计算、解释和练习的学习材料。系统通过统一资金口径与确定性工具提供数值依据，通过混合检索AI教练关联知识与个人问题，通过HSTU序列推荐提供与当前需求相关的持续内容入口，并以回访、情境任务和延迟迁移评价连接学习过程与结果。</w:t>
      </w:r>
    </w:p>
    <w:p w14:paraId="6C9CB58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现有工程复核表明，平台的主要财务与推荐业务链路可在既定合成样例下运行，相关测试与本地计算记录能够复现。项目的交叉学科价值在于将金融概念、人工智能方法和教育评价组织为具体系统；其教育收益仍需真实校园研究验证。</w:t>
      </w:r>
    </w:p>
    <w:p w14:paraId="52ECC53F">
      <w:pPr>
        <w:pStyle w:val="3"/>
        <w:rPr>
          <w:rFonts w:hint="default"/>
        </w:rPr>
      </w:pPr>
      <w:bookmarkStart w:id="314" w:name="_Toc242962147"/>
      <w:bookmarkStart w:id="313" w:name="_Toc242910613"/>
      <w:r>
        <w:t>6.2 局限与后续工作</w:t>
      </w:r>
      <w:bookmarkEnd w:id="313"/>
      <w:bookmarkEnd w:id="314"/>
    </w:p>
    <w:p w14:paraId="6057ED8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第一，个人账单可能不完整，收入也可能随时间变化，等价结余天数等估算需明确观察期和假设。第二，校园数据量有限，HSTU能否稳定优于简单基线，需要按历史长度和财务情境分组评价；冷启动阶段保留可解释基线。第三，AI教练仍可能检索到不适用片段或遗漏前提，应持续补充独立题集与证据审阅。</w:t>
      </w:r>
    </w:p>
    <w:p w14:paraId="28416177">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续优先完成升级算法的真实效果记录、静态检查警告清理和校园先导试用，再开展对照与延迟测评。只有在学习收益、运行成本和数据使用条件均得到支持后，才考虑跨校复用、扩展内容主题或教师辅助功能。研究允许发现效果有限或不适用的情境，并据此修正工具与教学任务。</w:t>
      </w:r>
    </w:p>
    <w:p w14:paraId="15948137">
      <w:pPr>
        <w:pStyle w:val="2"/>
        <w:numPr>
          <w:ilvl w:val="0"/>
          <w:numId w:val="0"/>
        </w:numPr>
        <w:spacing w:line="360" w:lineRule="auto"/>
        <w:rPr>
          <w:rFonts w:hint="default" w:ascii="Times New Roman" w:hAnsi="Times New Roman" w:cs="Times New Roman"/>
        </w:rPr>
      </w:pPr>
      <w:bookmarkStart w:id="315" w:name="_Toc242962148"/>
      <w:r>
        <w:rPr>
          <w:rFonts w:hint="default" w:ascii="Times New Roman" w:hAnsi="Times New Roman" w:cs="Times New Roman"/>
        </w:rPr>
        <w:t>参考文献</w:t>
      </w:r>
      <w:bookmarkEnd w:id="315"/>
    </w:p>
    <w:p w14:paraId="36B356BD">
      <w:pPr>
        <w:spacing w:line="360" w:lineRule="auto"/>
        <w:rPr>
          <w:rFonts w:hint="default" w:ascii="Times New Roman" w:hAnsi="Times New Roman" w:eastAsia="宋体" w:cs="Times New Roman"/>
          <w:b w:val="0"/>
          <w:bCs w:val="0"/>
          <w:sz w:val="21"/>
          <w:szCs w:val="21"/>
          <w:lang w:eastAsia="zh"/>
        </w:rPr>
      </w:pP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[1] CFP Board. Gen Z College Students Hungry for Financial Education, New CFP Board Study Finds[EB/OL]. (2026-02-24)[2026-10-15]. https://www.cfp.net/news/2026/02/gen-z-college-students-hungry-for-financial-education-new-cfp-board-study-finds.</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[2] Gudmunson C G, Danes S M. Family Financial Socialization: Theory and Critical Review[J]. Journal of Family and Economic Issues, 2011, 32: 644–667. DOI: 10.1007/s10834-011-9275-y.</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[3] Prelec D, Loewenstein G. The Red and the Black: Mental Accounting of Savings and Debt[J]. Marketing Science, 1998, 17(1): 4–28. DOI: 10.1287/mksc.17.1.4.</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[4] Schomburgk L, Belli A, Hoffmann A O I. Less cash, more splash? A meta-analysis on the cashless effect[J]. Journal of Retailing, 2024, 100(3): 382–403. DOI: 10.1016/j.jretai.2024.05.003.</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[5] 国务院. 国务院关于推进普惠金融高质量发展的实施意见：国发〔2023〕15号[EB/OL]. (2023-09-25)[2026-10-15]. https://www.mee.gov.cn/zcwj/gwywj/202310/t20231012_1042898.shtml.</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[6] Ni B, Liu Z, Wang L, et al. Towards Trustworthy Retrieval Augmented Generation for Large Language Models: A Survey[EB/OL]. arXiv:2502.06872, 2025[2026-10-15]. DOI: 10.48550/arXiv.2502.06872.</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[7] Thaler R H. Mental Accounting Matters[J]. Journal of Behavioral Decision Making, 1999, 12(3): 183–206.</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[8] Kaiser T, Lusardi A, Menkhoff L, et al. Financial education affects financial knowledge and downstream behaviors[J]. Journal of Financial Economics, 2022, 145(2): 255–272. DOI: 10.1016/j.jfineco.2021.09.022.</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[9] Bastani H, Bastani O, Sungu A, et al. Generative AI without guardrails can harm learning: Evidence from high school mathematics[J]. Proceedings of the National Academy of Sciences, 2025, 122(26): e2422633122. DOI: 10.1073/pnas.2422633122.</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[10] Lusardi A, Mitchell O S. The Importance of Financial Literacy: Opening a New Field[J]. Journal of Economic Perspectives, 2023, 37(4): 137–154. DOI: 10.1257/jep.37.4.137.</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[11] Zhai J, Liao L, Liu X, et al. Actions Speak Louder than Words: Trillion-Parameter Sequential Transducers for Generative Recommendations[EB/OL]. arXiv:2402.17152v3, 2024[2026-10-15]. DOI: 10.48550/arXiv.2402.17152.</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[12] Kestin G, Miller K, Klales A, et al. AI tutoring outperforms in-class active learning: an RCT introducing a novel research-based design in an authentic educational setting[J]. Scientific Reports, 2025, 15: 17458. DOI: 10.1038/s41598-025-97652-6.</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[13] Hou M, Wu L, Liao Y, et al. A Survey on Generative Recommendation: Data, Model, and Tasks[EB/OL]. arXiv:2510.27157v2, (2026-05-09)[2026-10-15]. DOI: 10.48550/arXiv.2510.27157.</w:t>
      </w:r>
    </w:p>
    <w:p>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 xml:space="preserve">[14] OECD. PISA 2022 Results (Volume IV): How Financially Smart Are Students?[R]. Paris: OECD Publishing, 2024. DOI: 10.1787/5a849c2a-en.</w:t>
      </w:r>
    </w:p>
    <w:sectPr>
      <w:footerReference r:id="rId3" w:type="default"/>
      <w:pgSz w:w="11906" w:h="16838"/>
      <w:pgMar w:top="851" w:right="1797" w:bottom="851"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660E">
    <w:pPr>
      <w:pStyle w:val="12"/>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v:textbox>
            </v:shape>
          </w:pict>
        </mc:Fallback>
      </mc:AlternateContent>
    </w:r>
  </w:p>
  <w:p w14:paraId="554566A6">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9C3DD2"/>
    <w:multiLevelType w:val="singleLevel"/>
    <w:tmpl w:val="E89C3DD2"/>
    <w:lvl w:ilvl="0" w:tentative="0">
      <w:start w:val="1"/>
      <w:numFmt w:val="chineseCounting"/>
      <w:suff w:val="nothing"/>
      <w:lvlText w:val="%1、"/>
      <w:lvlJc w:val="left"/>
      <w:rPr>
        <w:rFonts w:hint="eastAsia"/>
      </w:rPr>
    </w:lvl>
  </w:abstractNum>
  <w:abstractNum w:abstractNumId="1">
    <w:nsid w:val="EA4F8DB2"/>
    <w:multiLevelType w:val="singleLevel"/>
    <w:tmpl w:val="EA4F8DB2"/>
    <w:lvl w:ilvl="0" w:tentative="0">
      <w:start w:val="1"/>
      <w:numFmt w:val="decimal"/>
      <w:suff w:val="nothing"/>
      <w:lvlText w:val="（%1）"/>
      <w:lvlJc w:val="left"/>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10B4C17"/>
    <w:rsid w:val="013D6280"/>
    <w:rsid w:val="017E54D8"/>
    <w:rsid w:val="01F34FBF"/>
    <w:rsid w:val="022B7590"/>
    <w:rsid w:val="02482FCE"/>
    <w:rsid w:val="0303528A"/>
    <w:rsid w:val="039C353E"/>
    <w:rsid w:val="03F24E78"/>
    <w:rsid w:val="03F97C93"/>
    <w:rsid w:val="04273BA4"/>
    <w:rsid w:val="04B84EF0"/>
    <w:rsid w:val="05863F97"/>
    <w:rsid w:val="06320275"/>
    <w:rsid w:val="06D16204"/>
    <w:rsid w:val="06EE1853"/>
    <w:rsid w:val="07511572"/>
    <w:rsid w:val="07806250"/>
    <w:rsid w:val="081C0CE2"/>
    <w:rsid w:val="08EF485F"/>
    <w:rsid w:val="0993431B"/>
    <w:rsid w:val="09952CC4"/>
    <w:rsid w:val="09C24214"/>
    <w:rsid w:val="09E61E83"/>
    <w:rsid w:val="0B223C45"/>
    <w:rsid w:val="0B4C7FDE"/>
    <w:rsid w:val="0C2F327A"/>
    <w:rsid w:val="0C867C0F"/>
    <w:rsid w:val="0C9141AC"/>
    <w:rsid w:val="0CC779D3"/>
    <w:rsid w:val="0D20304F"/>
    <w:rsid w:val="0D40503E"/>
    <w:rsid w:val="0D7F17B3"/>
    <w:rsid w:val="0DBE4B1B"/>
    <w:rsid w:val="105C2352"/>
    <w:rsid w:val="10807BA2"/>
    <w:rsid w:val="10FC4F6D"/>
    <w:rsid w:val="12565335"/>
    <w:rsid w:val="12B20545"/>
    <w:rsid w:val="131A684E"/>
    <w:rsid w:val="13E70917"/>
    <w:rsid w:val="14B628F2"/>
    <w:rsid w:val="14F77DA2"/>
    <w:rsid w:val="16915345"/>
    <w:rsid w:val="176219EF"/>
    <w:rsid w:val="1765168D"/>
    <w:rsid w:val="17926540"/>
    <w:rsid w:val="183B15EC"/>
    <w:rsid w:val="18BB7226"/>
    <w:rsid w:val="18E06F20"/>
    <w:rsid w:val="19994C32"/>
    <w:rsid w:val="1A2620E0"/>
    <w:rsid w:val="1A5C04E5"/>
    <w:rsid w:val="1BF2410D"/>
    <w:rsid w:val="1BF34341"/>
    <w:rsid w:val="1DB16276"/>
    <w:rsid w:val="1DBD007D"/>
    <w:rsid w:val="1E281110"/>
    <w:rsid w:val="1EDF5C75"/>
    <w:rsid w:val="1FD870AC"/>
    <w:rsid w:val="22325F30"/>
    <w:rsid w:val="22732B0F"/>
    <w:rsid w:val="22FD3CD9"/>
    <w:rsid w:val="23F275DC"/>
    <w:rsid w:val="24482D50"/>
    <w:rsid w:val="246C5F29"/>
    <w:rsid w:val="24CF4AF4"/>
    <w:rsid w:val="25860C22"/>
    <w:rsid w:val="25AB4F81"/>
    <w:rsid w:val="262650A6"/>
    <w:rsid w:val="267A740D"/>
    <w:rsid w:val="26C54B2C"/>
    <w:rsid w:val="28277277"/>
    <w:rsid w:val="28B9246E"/>
    <w:rsid w:val="290D2324"/>
    <w:rsid w:val="29B23ABB"/>
    <w:rsid w:val="2AE250AE"/>
    <w:rsid w:val="2B0413D6"/>
    <w:rsid w:val="2B3A7C09"/>
    <w:rsid w:val="2BFA0DD4"/>
    <w:rsid w:val="2C5C5C81"/>
    <w:rsid w:val="2C8630EC"/>
    <w:rsid w:val="2C925F4C"/>
    <w:rsid w:val="2CA46586"/>
    <w:rsid w:val="2D60221A"/>
    <w:rsid w:val="2D744AD5"/>
    <w:rsid w:val="2DD4535F"/>
    <w:rsid w:val="2E4F45D1"/>
    <w:rsid w:val="2EED4AA2"/>
    <w:rsid w:val="2F0D223B"/>
    <w:rsid w:val="2F3E7229"/>
    <w:rsid w:val="2F8C0FDE"/>
    <w:rsid w:val="2FFF0FB6"/>
    <w:rsid w:val="301D5D37"/>
    <w:rsid w:val="313A50D3"/>
    <w:rsid w:val="31A0272D"/>
    <w:rsid w:val="32172601"/>
    <w:rsid w:val="3253071D"/>
    <w:rsid w:val="32A46281"/>
    <w:rsid w:val="33780EA7"/>
    <w:rsid w:val="338A589D"/>
    <w:rsid w:val="33A238CF"/>
    <w:rsid w:val="33C613DE"/>
    <w:rsid w:val="33FF10DF"/>
    <w:rsid w:val="34025D44"/>
    <w:rsid w:val="34034AC9"/>
    <w:rsid w:val="34196405"/>
    <w:rsid w:val="3469061B"/>
    <w:rsid w:val="35354E6B"/>
    <w:rsid w:val="35704203"/>
    <w:rsid w:val="35AD209F"/>
    <w:rsid w:val="36200C6B"/>
    <w:rsid w:val="3660660C"/>
    <w:rsid w:val="37072D8A"/>
    <w:rsid w:val="37471E40"/>
    <w:rsid w:val="374B5A83"/>
    <w:rsid w:val="374E4B67"/>
    <w:rsid w:val="38080218"/>
    <w:rsid w:val="383252C2"/>
    <w:rsid w:val="38E85CE9"/>
    <w:rsid w:val="396436E7"/>
    <w:rsid w:val="39806E9B"/>
    <w:rsid w:val="39956F2E"/>
    <w:rsid w:val="39C62C3D"/>
    <w:rsid w:val="39EC7B15"/>
    <w:rsid w:val="3AD5065B"/>
    <w:rsid w:val="3AFC23EB"/>
    <w:rsid w:val="3B3812E7"/>
    <w:rsid w:val="3B957A69"/>
    <w:rsid w:val="3BA83D53"/>
    <w:rsid w:val="3C002CC1"/>
    <w:rsid w:val="3C0C5591"/>
    <w:rsid w:val="3C135817"/>
    <w:rsid w:val="3CC11216"/>
    <w:rsid w:val="3D2140C0"/>
    <w:rsid w:val="3D361B91"/>
    <w:rsid w:val="3D8C5C77"/>
    <w:rsid w:val="3E363210"/>
    <w:rsid w:val="3E5A0F01"/>
    <w:rsid w:val="3E864749"/>
    <w:rsid w:val="3EA8704B"/>
    <w:rsid w:val="3F010EE1"/>
    <w:rsid w:val="41795FF8"/>
    <w:rsid w:val="42020E57"/>
    <w:rsid w:val="424E118C"/>
    <w:rsid w:val="43C10182"/>
    <w:rsid w:val="440649D1"/>
    <w:rsid w:val="444666BF"/>
    <w:rsid w:val="44C44324"/>
    <w:rsid w:val="44CC354F"/>
    <w:rsid w:val="44DD081A"/>
    <w:rsid w:val="454721AB"/>
    <w:rsid w:val="455876F4"/>
    <w:rsid w:val="45D603C3"/>
    <w:rsid w:val="46192241"/>
    <w:rsid w:val="461B748C"/>
    <w:rsid w:val="46DA42D3"/>
    <w:rsid w:val="474B4C12"/>
    <w:rsid w:val="475F1574"/>
    <w:rsid w:val="475F2F4F"/>
    <w:rsid w:val="48323804"/>
    <w:rsid w:val="48B445F1"/>
    <w:rsid w:val="48F2260D"/>
    <w:rsid w:val="49366EDB"/>
    <w:rsid w:val="496815D9"/>
    <w:rsid w:val="49A779EF"/>
    <w:rsid w:val="49FA2908"/>
    <w:rsid w:val="4C632C63"/>
    <w:rsid w:val="4C782D3C"/>
    <w:rsid w:val="4C9A21E3"/>
    <w:rsid w:val="4CC73481"/>
    <w:rsid w:val="4D417ABE"/>
    <w:rsid w:val="4DB50BA7"/>
    <w:rsid w:val="4E427F3D"/>
    <w:rsid w:val="4F2B7D30"/>
    <w:rsid w:val="4FC71CA2"/>
    <w:rsid w:val="4FF16D31"/>
    <w:rsid w:val="50C11588"/>
    <w:rsid w:val="513314DF"/>
    <w:rsid w:val="51A7386E"/>
    <w:rsid w:val="523A6135"/>
    <w:rsid w:val="525B3B3A"/>
    <w:rsid w:val="528A70FF"/>
    <w:rsid w:val="52B34ED1"/>
    <w:rsid w:val="52BF286B"/>
    <w:rsid w:val="542B3EFA"/>
    <w:rsid w:val="547F7727"/>
    <w:rsid w:val="548825BE"/>
    <w:rsid w:val="54B55930"/>
    <w:rsid w:val="54FB77E7"/>
    <w:rsid w:val="551057BC"/>
    <w:rsid w:val="552C3D2B"/>
    <w:rsid w:val="55514205"/>
    <w:rsid w:val="560F4F3F"/>
    <w:rsid w:val="56C836F9"/>
    <w:rsid w:val="57457AB0"/>
    <w:rsid w:val="57747B59"/>
    <w:rsid w:val="57774C26"/>
    <w:rsid w:val="57CB6E0C"/>
    <w:rsid w:val="57D41D25"/>
    <w:rsid w:val="581870EB"/>
    <w:rsid w:val="5876214C"/>
    <w:rsid w:val="589469D9"/>
    <w:rsid w:val="58E34992"/>
    <w:rsid w:val="59C42BCC"/>
    <w:rsid w:val="59C75672"/>
    <w:rsid w:val="59FE49A4"/>
    <w:rsid w:val="5A13675A"/>
    <w:rsid w:val="5A3D301B"/>
    <w:rsid w:val="5A3F78CF"/>
    <w:rsid w:val="5BA81C8A"/>
    <w:rsid w:val="5BFD30FD"/>
    <w:rsid w:val="5C1E5B2C"/>
    <w:rsid w:val="5CCB5CF1"/>
    <w:rsid w:val="5D305B6F"/>
    <w:rsid w:val="5D5647B5"/>
    <w:rsid w:val="5D63484D"/>
    <w:rsid w:val="5D7824DF"/>
    <w:rsid w:val="5D965719"/>
    <w:rsid w:val="5E440D35"/>
    <w:rsid w:val="5EAA32A0"/>
    <w:rsid w:val="5EE457F2"/>
    <w:rsid w:val="5F261328"/>
    <w:rsid w:val="5FF57D58"/>
    <w:rsid w:val="603D38C4"/>
    <w:rsid w:val="6071407C"/>
    <w:rsid w:val="60AF0971"/>
    <w:rsid w:val="60DF3CB5"/>
    <w:rsid w:val="60F058D0"/>
    <w:rsid w:val="61416F4F"/>
    <w:rsid w:val="61517A0A"/>
    <w:rsid w:val="61F43898"/>
    <w:rsid w:val="62E371DA"/>
    <w:rsid w:val="63981255"/>
    <w:rsid w:val="64266B49"/>
    <w:rsid w:val="64713DD8"/>
    <w:rsid w:val="64817353"/>
    <w:rsid w:val="64B81FCE"/>
    <w:rsid w:val="651A34B6"/>
    <w:rsid w:val="65C2322C"/>
    <w:rsid w:val="66100F87"/>
    <w:rsid w:val="661D6178"/>
    <w:rsid w:val="66373E26"/>
    <w:rsid w:val="668F75D5"/>
    <w:rsid w:val="670B7D81"/>
    <w:rsid w:val="67B8697E"/>
    <w:rsid w:val="67C37EE2"/>
    <w:rsid w:val="67D00FDF"/>
    <w:rsid w:val="687E1428"/>
    <w:rsid w:val="691C697F"/>
    <w:rsid w:val="691D3625"/>
    <w:rsid w:val="699E3ED1"/>
    <w:rsid w:val="69CA09B4"/>
    <w:rsid w:val="69E858F3"/>
    <w:rsid w:val="6AE12DAA"/>
    <w:rsid w:val="6BF52D10"/>
    <w:rsid w:val="6BF56DC2"/>
    <w:rsid w:val="6C2D5008"/>
    <w:rsid w:val="6CB149D2"/>
    <w:rsid w:val="6CDE3FAE"/>
    <w:rsid w:val="6D392C3D"/>
    <w:rsid w:val="6DD44130"/>
    <w:rsid w:val="6E31137D"/>
    <w:rsid w:val="6E4E5C2D"/>
    <w:rsid w:val="6E667359"/>
    <w:rsid w:val="6E773350"/>
    <w:rsid w:val="6EBC17AF"/>
    <w:rsid w:val="6F1161C5"/>
    <w:rsid w:val="6F395F05"/>
    <w:rsid w:val="6F9C7BE1"/>
    <w:rsid w:val="6FB76C1E"/>
    <w:rsid w:val="70115BC1"/>
    <w:rsid w:val="705E1080"/>
    <w:rsid w:val="713A694F"/>
    <w:rsid w:val="716C0EB2"/>
    <w:rsid w:val="723D2CFA"/>
    <w:rsid w:val="72DD3B96"/>
    <w:rsid w:val="72F24EC4"/>
    <w:rsid w:val="730A4314"/>
    <w:rsid w:val="74E23624"/>
    <w:rsid w:val="75BD4F39"/>
    <w:rsid w:val="763E536C"/>
    <w:rsid w:val="76684159"/>
    <w:rsid w:val="776B35FD"/>
    <w:rsid w:val="77C3210C"/>
    <w:rsid w:val="78563879"/>
    <w:rsid w:val="789101DB"/>
    <w:rsid w:val="78CA2EA9"/>
    <w:rsid w:val="79111305"/>
    <w:rsid w:val="79F37797"/>
    <w:rsid w:val="7AE855FB"/>
    <w:rsid w:val="7AFE2461"/>
    <w:rsid w:val="7B3219DB"/>
    <w:rsid w:val="7C1B4CC5"/>
    <w:rsid w:val="7CCD1C44"/>
    <w:rsid w:val="7D20207B"/>
    <w:rsid w:val="7DBA4CD5"/>
    <w:rsid w:val="7DD117E2"/>
    <w:rsid w:val="7DF115D5"/>
    <w:rsid w:val="7DFD5ACF"/>
    <w:rsid w:val="7E4B683A"/>
    <w:rsid w:val="7E7064DD"/>
    <w:rsid w:val="7EDF4E07"/>
    <w:rsid w:val="7EE94197"/>
    <w:rsid w:val="7F7B6CAB"/>
    <w:rsid w:val="7FFE2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4"/>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link w:val="35"/>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line="240" w:lineRule="auto"/>
    </w:pPr>
    <w:rPr>
      <w:b/>
      <w:bCs/>
      <w:sz w:val="20"/>
      <w:szCs w:val="18"/>
    </w:rPr>
  </w:style>
  <w:style w:type="paragraph" w:styleId="8">
    <w:name w:val="annotation text"/>
    <w:basedOn w:val="1"/>
    <w:link w:val="32"/>
    <w:semiHidden/>
    <w:unhideWhenUsed/>
    <w:qFormat/>
    <w:uiPriority w:val="99"/>
    <w:pPr>
      <w:jc w:val="left"/>
    </w:pPr>
  </w:style>
  <w:style w:type="paragraph" w:styleId="9">
    <w:name w:val="Body Text"/>
    <w:basedOn w:val="1"/>
    <w:link w:val="26"/>
    <w:unhideWhenUsed/>
    <w:qFormat/>
    <w:uiPriority w:val="99"/>
    <w:pPr>
      <w:spacing w:after="120"/>
    </w:pPr>
  </w:style>
  <w:style w:type="paragraph" w:styleId="10">
    <w:name w:val="toc 3"/>
    <w:basedOn w:val="1"/>
    <w:next w:val="1"/>
    <w:semiHidden/>
    <w:unhideWhenUsed/>
    <w:qFormat/>
    <w:uiPriority w:val="39"/>
    <w:pPr>
      <w:ind w:left="840" w:leftChars="400"/>
    </w:pPr>
  </w:style>
  <w:style w:type="paragraph" w:styleId="11">
    <w:name w:val="Balloon Text"/>
    <w:basedOn w:val="1"/>
    <w:link w:val="31"/>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left" w:pos="1050"/>
        <w:tab w:val="right" w:leader="dot" w:pos="8296"/>
      </w:tabs>
    </w:pPr>
    <w:rPr>
      <w:b/>
      <w:sz w:val="28"/>
      <w:szCs w:val="28"/>
    </w:r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8">
    <w:name w:val="annotation subject"/>
    <w:basedOn w:val="8"/>
    <w:next w:val="8"/>
    <w:link w:val="3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unhideWhenUsed/>
    <w:qFormat/>
    <w:uiPriority w:val="99"/>
    <w:rPr>
      <w:color w:val="0000FF"/>
      <w:u w:val="single"/>
    </w:rPr>
  </w:style>
  <w:style w:type="character" w:styleId="24">
    <w:name w:val="HTML Code"/>
    <w:basedOn w:val="21"/>
    <w:semiHidden/>
    <w:unhideWhenUsed/>
    <w:qFormat/>
    <w:uiPriority w:val="99"/>
    <w:rPr>
      <w:rFonts w:ascii="Courier New" w:hAnsi="Courier New"/>
      <w:sz w:val="20"/>
    </w:rPr>
  </w:style>
  <w:style w:type="character" w:styleId="25">
    <w:name w:val="annotation reference"/>
    <w:basedOn w:val="21"/>
    <w:semiHidden/>
    <w:unhideWhenUsed/>
    <w:qFormat/>
    <w:uiPriority w:val="99"/>
    <w:rPr>
      <w:sz w:val="21"/>
      <w:szCs w:val="21"/>
    </w:rPr>
  </w:style>
  <w:style w:type="character" w:customStyle="1" w:styleId="26">
    <w:name w:val="正文文本 字符"/>
    <w:basedOn w:val="21"/>
    <w:link w:val="9"/>
    <w:qFormat/>
    <w:uiPriority w:val="99"/>
  </w:style>
  <w:style w:type="paragraph" w:styleId="27">
    <w:name w:val="List Paragraph"/>
    <w:basedOn w:val="1"/>
    <w:qFormat/>
    <w:uiPriority w:val="34"/>
    <w:pPr>
      <w:ind w:firstLine="420" w:firstLineChars="200"/>
    </w:p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标题 1 字符"/>
    <w:basedOn w:val="21"/>
    <w:link w:val="2"/>
    <w:qFormat/>
    <w:uiPriority w:val="9"/>
    <w:rPr>
      <w:rFonts w:eastAsia="黑体"/>
      <w:bCs/>
      <w:kern w:val="44"/>
      <w:sz w:val="44"/>
      <w:szCs w:val="44"/>
      <w:lang w:val="zh-CN"/>
    </w:rPr>
  </w:style>
  <w:style w:type="character" w:customStyle="1" w:styleId="31">
    <w:name w:val="批注框文本 字符"/>
    <w:basedOn w:val="21"/>
    <w:link w:val="11"/>
    <w:semiHidden/>
    <w:qFormat/>
    <w:uiPriority w:val="99"/>
    <w:rPr>
      <w:sz w:val="18"/>
      <w:szCs w:val="18"/>
    </w:rPr>
  </w:style>
  <w:style w:type="character" w:customStyle="1" w:styleId="32">
    <w:name w:val="批注文字 字符"/>
    <w:basedOn w:val="21"/>
    <w:link w:val="8"/>
    <w:semiHidden/>
    <w:qFormat/>
    <w:uiPriority w:val="99"/>
  </w:style>
  <w:style w:type="character" w:customStyle="1" w:styleId="33">
    <w:name w:val="批注主题 字符"/>
    <w:basedOn w:val="32"/>
    <w:link w:val="18"/>
    <w:semiHidden/>
    <w:qFormat/>
    <w:uiPriority w:val="99"/>
    <w:rPr>
      <w:b/>
      <w:bCs/>
    </w:rPr>
  </w:style>
  <w:style w:type="character" w:customStyle="1" w:styleId="34">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35">
    <w:name w:val="标题 5 Char"/>
    <w:link w:val="6"/>
    <w:qFormat/>
    <w:uiPriority w:val="0"/>
    <w:rPr>
      <w:b/>
      <w:sz w:val="28"/>
    </w:rPr>
  </w:style>
  <w:style w:type="paragraph" w:customStyle="1" w:styleId="36">
    <w:name w:val="标题1"/>
    <w:basedOn w:val="1"/>
    <w:qFormat/>
    <w:uiPriority w:val="0"/>
    <w:rPr>
      <w:rFonts w:ascii="Times New Roman" w:hAnsi="Times New Roman" w:eastAsia="黑体"/>
      <w:b/>
      <w:sz w:val="5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YGModules" Type="http://schemas.openxmlformats.org/officeDocument/2006/relationships/image" Target="media/youthgain-function-modules.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44</Pages>
  <Words>5831</Words>
  <Characters>6123</Characters>
  <Lines>9</Lines>
  <Paragraphs>2</Paragraphs>
  <TotalTime>54</TotalTime>
  <ScaleCrop>false</ScaleCrop>
  <LinksUpToDate>false</LinksUpToDate>
  <CharactersWithSpaces>6390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WPS_1691726600</cp:lastModifiedBy>
  <cp:lastPrinted>2020-04-27T09:16:00Z</cp:lastPrinted>
  <dcterms:modified xsi:type="dcterms:W3CDTF">2026-10-15T04:34:41Z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eyJoZGlkIjoiZTFhMDRjMmUzYTA3ZTBhYjdiMjMwNGE5NzIyNjI0ZTciLCJ1c2VySWQiOiIxNTIwNDg3OTQ5In0=</vt:lpwstr>
  </property>
  <property fmtid="{D5CDD505-2E9C-101B-9397-08002B2CF9AE}" pid="3" name="KSOProductBuildVer">
    <vt:lpwstr>2052-12.1.0.28505</vt:lpwstr>
  </property>
  <property fmtid="{D5CDD505-2E9C-101B-9397-08002B2CF9AE}" pid="4" name="ICV">
    <vt:lpwstr>53B8FC2A8DBF4363B17B41A525E28389_13</vt:lpwstr>
  </property>
</Properties>
</file>