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Первая нормальная форма (1НФ) требует, чтобы данные в таблице были организованы так, чтобы: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Каждое поле содержало атомарные значения (то есть нельзя иметь множества значений или повторяющиеся группы данных в одном поле).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Каждая строка в таблице была уникальной, что обычно достигается путем наличия первичного ключа.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Все таблицы в базе данных имеют атомарные значения в своих полях, то есть все соответствуют требованиям первой нормальной формы.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Каждая таблица имеет первичный ключ, который делает строки уникальными.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Вторая нормальная форма (2НФ) основывается на выполнении требований первой нормальной формы (1НФ) и дополнительно требует, чтобы все неключевые атрибуты зависели от всего первичного ключа, а не только от его части. Это означает, что: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Все атрибуты таблицы должны быть атомарными (что уже соблюдается, так как база данных соответствует 1НФ).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 неключевые поля должны быть полноценно зависимы от всего первичного ключа, то есть не должно быть частичных зависимостей (когда атрибут зависит только от части составного ключа).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Все таблицы, как и в первой нормальной форме, содержат атомарные данные. В таблицах нет частичных зависимостей, так как все неключевые атрибуты зависят от всего первичного ключа. В тех случаях, когда используется составной ключ (например, в таблице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staff_positions</w:t>
      </w:r>
      <w:r w:rsidDel="00000000" w:rsidR="00000000" w:rsidRPr="00000000">
        <w:rPr>
          <w:rtl w:val="0"/>
        </w:rPr>
        <w:t xml:space="preserve">), таблица не содержит неключевых атрибутов, и частичных зависимостей не возникает.</w:t>
        <w:br w:type="textWrapping"/>
        <w:br w:type="textWrapping"/>
        <w:t xml:space="preserve">Третья нормальная форма (3НФ) требует, чтобы таблица уже находилась во второй нормальной форме (2НФ), и дополнительно требовала, чтобы в таблице не было транзитивных зависимостей. То есть: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Все атрибуты должны зависеть только от первичного ключа (это требование 2НФ).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Нельзя, чтобы один неключевой атрибут зависел от другого неключевого атрибута. Это называется транзитивной зависимостью.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таблицы соответствуют второй нормальной форме (2НФ). В таблицах нет транзитивных зависимостей между неключевыми атрибутами. Все неключевые атрибуты зависят только от первичного ключа.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