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72"/>
          <w:shd w:fill="auto" w:val="clear"/>
        </w:rPr>
        <w:t xml:space="preserve">MERN Stack Web Security</w:t>
      </w:r>
      <w:r>
        <w:rPr>
          <w:rFonts w:ascii="Calibri" w:hAnsi="Calibri" w:cs="Calibri" w:eastAsia="Calibri"/>
          <w:color w:val="00B050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7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4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8"/>
          <w:shd w:fill="auto" w:val="clear"/>
        </w:rPr>
        <w:t xml:space="preserve">Common website security risks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DDoS Attacks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Malware and viruses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SQL Injection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Spam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Bots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Broken Authentication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Cross-Site Scripting (XSS)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Search engine site blacklists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Registering for a WHOIS domain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Cross-Site Request Forgery (CSRF)</w:t>
      </w:r>
    </w:p>
    <w:p>
      <w:pPr>
        <w:numPr>
          <w:ilvl w:val="0"/>
          <w:numId w:val="2"/>
        </w:numPr>
        <w:spacing w:before="100" w:after="375" w:line="240"/>
        <w:ind w:right="0" w:left="117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Exploiting inclusion vulnerabilities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 LFI and RFI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PF Handbook Pro" w:hAnsi="PF Handbook Pro" w:cs="PF Handbook Pro" w:eastAsia="PF Handbook Pro"/>
          <w:color w:val="0070C0"/>
          <w:spacing w:val="0"/>
          <w:position w:val="0"/>
          <w:sz w:val="48"/>
          <w:shd w:fill="auto" w:val="clear"/>
        </w:rPr>
        <w:t xml:space="preserve">#</w:t>
      </w:r>
      <w:r>
        <w:rPr>
          <w:rFonts w:ascii="PF Handbook Pro" w:hAnsi="PF Handbook Pro" w:cs="PF Handbook Pro" w:eastAsia="PF Handbook Pro"/>
          <w:color w:val="141F42"/>
          <w:spacing w:val="0"/>
          <w:position w:val="0"/>
          <w:sz w:val="5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8"/>
          <w:shd w:fill="auto" w:val="clear"/>
        </w:rPr>
        <w:t xml:space="preserve">Production-Ready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Folder Structure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ED7D31"/>
          <w:spacing w:val="0"/>
          <w:position w:val="0"/>
          <w:sz w:val="32"/>
          <w:shd w:fill="auto" w:val="clear"/>
        </w:rPr>
        <w:t xml:space="preserve">Project-root/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  <w:br/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ourier New" w:hAnsi="Courier New" w:cs="Courier New" w:eastAsia="Courier New"/>
          <w:b/>
          <w:color w:val="44546A"/>
          <w:spacing w:val="0"/>
          <w:position w:val="0"/>
          <w:sz w:val="28"/>
          <w:shd w:fill="auto" w:val="clear"/>
        </w:rPr>
        <w:t xml:space="preserve">Controllers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ourier New" w:hAnsi="Courier New" w:cs="Courier New" w:eastAsia="Courier New"/>
          <w:b/>
          <w:color w:val="44546A"/>
          <w:spacing w:val="0"/>
          <w:position w:val="0"/>
          <w:sz w:val="28"/>
          <w:shd w:fill="auto" w:val="clear"/>
        </w:rPr>
        <w:t xml:space="preserve">Helpers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ourier New" w:hAnsi="Courier New" w:cs="Courier New" w:eastAsia="Courier New"/>
          <w:b/>
          <w:color w:val="44546A"/>
          <w:spacing w:val="0"/>
          <w:position w:val="0"/>
          <w:sz w:val="28"/>
          <w:shd w:fill="auto" w:val="clear"/>
        </w:rPr>
        <w:t xml:space="preserve">Middleware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ourier New" w:hAnsi="Courier New" w:cs="Courier New" w:eastAsia="Courier New"/>
          <w:b/>
          <w:color w:val="44546A"/>
          <w:spacing w:val="0"/>
          <w:position w:val="0"/>
          <w:sz w:val="28"/>
          <w:shd w:fill="auto" w:val="clear"/>
        </w:rPr>
        <w:t xml:space="preserve">public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ourier New" w:hAnsi="Courier New" w:cs="Courier New" w:eastAsia="Courier New"/>
          <w:b/>
          <w:color w:val="44546A"/>
          <w:spacing w:val="0"/>
          <w:position w:val="0"/>
          <w:sz w:val="28"/>
          <w:shd w:fill="auto" w:val="clear"/>
        </w:rPr>
        <w:t xml:space="preserve">Routes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ourier New" w:hAnsi="Courier New" w:cs="Courier New" w:eastAsia="Courier New"/>
          <w:b/>
          <w:color w:val="44546A"/>
          <w:spacing w:val="0"/>
          <w:position w:val="0"/>
          <w:sz w:val="28"/>
          <w:shd w:fill="auto" w:val="clear"/>
        </w:rPr>
        <w:t xml:space="preserve">Services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ourier New" w:hAnsi="Courier New" w:cs="Courier New" w:eastAsia="Courier New"/>
          <w:b/>
          <w:color w:val="2E74B5"/>
          <w:spacing w:val="0"/>
          <w:position w:val="0"/>
          <w:sz w:val="28"/>
          <w:shd w:fill="auto" w:val="clear"/>
        </w:rPr>
        <w:t xml:space="preserve">.Env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ourier New" w:hAnsi="Courier New" w:cs="Courier New" w:eastAsia="Courier New"/>
          <w:b/>
          <w:color w:val="2E74B5"/>
          <w:spacing w:val="0"/>
          <w:position w:val="0"/>
          <w:sz w:val="28"/>
          <w:shd w:fill="auto" w:val="clear"/>
        </w:rPr>
        <w:t xml:space="preserve">Package.json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Courier New" w:hAnsi="Courier New" w:cs="Courier New" w:eastAsia="Courier New"/>
          <w:b/>
          <w:color w:val="2E74B5"/>
          <w:spacing w:val="0"/>
          <w:position w:val="0"/>
          <w:sz w:val="28"/>
          <w:shd w:fill="auto" w:val="clear"/>
        </w:rPr>
        <w:t xml:space="preserve">Server.js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Environment Variables</w:t>
      </w:r>
    </w:p>
    <w:p>
      <w:pPr>
        <w:numPr>
          <w:ilvl w:val="0"/>
          <w:numId w:val="6"/>
        </w:numPr>
        <w:spacing w:before="0" w:after="160" w:line="259"/>
        <w:ind w:right="0" w:left="810" w:hanging="36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Production Environment</w:t>
      </w:r>
    </w:p>
    <w:p>
      <w:pPr>
        <w:numPr>
          <w:ilvl w:val="0"/>
          <w:numId w:val="6"/>
        </w:numPr>
        <w:spacing w:before="0" w:after="160" w:line="259"/>
        <w:ind w:right="0" w:left="810" w:hanging="36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Development Environment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Securing the NodeJS Application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Bcrypt-js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Passport-jwt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Helmet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Winston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Express Rate Limiter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Audit-Js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Containerizing your MERN Application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Decide the Containers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Create the Docker files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Create the Docker Compose file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Decide the Containers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Container 1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ReactJS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Container 2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NodeJS with Express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Container 3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375" w:line="450"/>
        <w:ind w:right="0" w:left="0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375" w:line="450"/>
        <w:ind w:right="0" w:left="0" w:firstLine="0"/>
        <w:jc w:val="left"/>
        <w:rPr>
          <w:rFonts w:ascii="PF Handbook Pro" w:hAnsi="PF Handbook Pro" w:cs="PF Handbook Pro" w:eastAsia="PF Handbook Pro"/>
          <w:b/>
          <w:color w:val="0070C0"/>
          <w:spacing w:val="0"/>
          <w:position w:val="0"/>
          <w:sz w:val="48"/>
          <w:shd w:fill="FFFFFF" w:val="clear"/>
        </w:rPr>
      </w:pPr>
      <w:r>
        <w:rPr>
          <w:rFonts w:ascii="PF Handbook Pro" w:hAnsi="PF Handbook Pro" w:cs="PF Handbook Pro" w:eastAsia="PF Handbook Pro"/>
          <w:b/>
          <w:color w:val="0070C0"/>
          <w:spacing w:val="0"/>
          <w:position w:val="0"/>
          <w:sz w:val="48"/>
          <w:shd w:fill="FFFFFF" w:val="clear"/>
        </w:rPr>
        <w:t xml:space="preserve"># Best practices for web security</w:t>
      </w:r>
    </w:p>
    <w:p>
      <w:pPr>
        <w:numPr>
          <w:ilvl w:val="0"/>
          <w:numId w:val="21"/>
        </w:numPr>
        <w:spacing w:before="0" w:after="160" w:line="259"/>
        <w:ind w:right="0" w:left="9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Maintain Security During Web App Development</w:t>
      </w:r>
    </w:p>
    <w:p>
      <w:pPr>
        <w:numPr>
          <w:ilvl w:val="0"/>
          <w:numId w:val="21"/>
        </w:numPr>
        <w:spacing w:before="0" w:after="160" w:line="259"/>
        <w:ind w:right="0" w:left="9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Require Injection &amp; Input Validation</w:t>
      </w:r>
    </w:p>
    <w:p>
      <w:pPr>
        <w:numPr>
          <w:ilvl w:val="0"/>
          <w:numId w:val="21"/>
        </w:numPr>
        <w:spacing w:before="0" w:after="160" w:line="259"/>
        <w:ind w:right="0" w:left="9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Encrypt your data</w:t>
      </w:r>
    </w:p>
    <w:p>
      <w:pPr>
        <w:numPr>
          <w:ilvl w:val="0"/>
          <w:numId w:val="21"/>
        </w:numPr>
        <w:spacing w:before="0" w:after="160" w:line="259"/>
        <w:ind w:right="0" w:left="9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Use Exception Management</w:t>
      </w:r>
    </w:p>
    <w:p>
      <w:pPr>
        <w:numPr>
          <w:ilvl w:val="0"/>
          <w:numId w:val="21"/>
        </w:numPr>
        <w:spacing w:before="0" w:after="160" w:line="259"/>
        <w:ind w:right="0" w:left="9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Apply Authentication, Role Management &amp; Access    Control.</w:t>
      </w:r>
    </w:p>
    <w:p>
      <w:pPr>
        <w:numPr>
          <w:ilvl w:val="0"/>
          <w:numId w:val="21"/>
        </w:numPr>
        <w:spacing w:before="0" w:after="160" w:line="259"/>
        <w:ind w:right="0" w:left="9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Don't Forget Hosting/Service-Focused Measures</w:t>
      </w:r>
    </w:p>
    <w:p>
      <w:pPr>
        <w:numPr>
          <w:ilvl w:val="0"/>
          <w:numId w:val="21"/>
        </w:numPr>
        <w:spacing w:before="0" w:after="160" w:line="259"/>
        <w:ind w:right="0" w:left="9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Avoid Security Misconfigurations</w:t>
      </w:r>
    </w:p>
    <w:p>
      <w:pPr>
        <w:numPr>
          <w:ilvl w:val="0"/>
          <w:numId w:val="21"/>
        </w:numPr>
        <w:spacing w:before="0" w:after="160" w:line="259"/>
        <w:ind w:right="0" w:left="9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Implement HTTPS (and Redirect All HTTP Traffic to </w:t>
      </w:r>
    </w:p>
    <w:p>
      <w:pPr>
        <w:spacing w:before="0" w:after="160" w:line="259"/>
        <w:ind w:right="0" w:left="93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HTTPS).</w:t>
      </w:r>
    </w:p>
    <w:p>
      <w:pPr>
        <w:numPr>
          <w:ilvl w:val="0"/>
          <w:numId w:val="23"/>
        </w:numPr>
        <w:spacing w:before="0" w:after="160" w:line="259"/>
        <w:ind w:right="0" w:left="9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Include Auditing &amp; Logging</w:t>
      </w:r>
    </w:p>
    <w:p>
      <w:pPr>
        <w:numPr>
          <w:ilvl w:val="0"/>
          <w:numId w:val="23"/>
        </w:numPr>
        <w:spacing w:before="0" w:after="160" w:line="259"/>
        <w:ind w:right="0" w:left="9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 Rigorous Quality Assurance and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b/>
          <w:color w:val="595959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