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CB605" w14:textId="425D3698" w:rsidR="003169F9" w:rsidRPr="00A76CEF" w:rsidRDefault="0032503F">
      <w:pPr>
        <w:pStyle w:val="heading20"/>
        <w:rPr>
          <w:sz w:val="24"/>
          <w:szCs w:val="24"/>
        </w:rPr>
      </w:pPr>
      <w:r w:rsidRPr="00A76CEF">
        <w:rPr>
          <w:sz w:val="24"/>
          <w:szCs w:val="24"/>
        </w:rPr>
        <w:t>What We Do</w:t>
      </w:r>
    </w:p>
    <w:p w14:paraId="2CD73E70" w14:textId="1D5DB6E0" w:rsidR="003169F9" w:rsidRPr="00A76CEF" w:rsidRDefault="00A76CEF">
      <w:pPr>
        <w:spacing w:after="160"/>
        <w:rPr>
          <w:sz w:val="21"/>
          <w:szCs w:val="21"/>
        </w:rPr>
      </w:pPr>
      <w:r w:rsidRPr="00A76CEF">
        <w:rPr>
          <w:sz w:val="21"/>
          <w:szCs w:val="21"/>
          <w:lang w:val="en-US"/>
        </w:rPr>
        <w:t>Hyper</w:t>
      </w:r>
      <w:r w:rsidR="3B991599" w:rsidRPr="00A76CEF">
        <w:rPr>
          <w:sz w:val="21"/>
          <w:szCs w:val="21"/>
          <w:lang w:val="en-US"/>
        </w:rPr>
        <w:t xml:space="preserve"> is a specialist data engineering platform. We design, build, and operate data warehousing and analytics infrastructure for </w:t>
      </w:r>
      <w:proofErr w:type="spellStart"/>
      <w:r w:rsidR="3B991599" w:rsidRPr="00A76CEF">
        <w:rPr>
          <w:sz w:val="21"/>
          <w:szCs w:val="21"/>
          <w:lang w:val="en-US"/>
        </w:rPr>
        <w:t>organisations</w:t>
      </w:r>
      <w:proofErr w:type="spellEnd"/>
      <w:r w:rsidR="3B991599" w:rsidRPr="00A76CEF">
        <w:rPr>
          <w:sz w:val="21"/>
          <w:szCs w:val="21"/>
          <w:lang w:val="en-US"/>
        </w:rPr>
        <w:t xml:space="preserve"> that need reliable, well-structured data but don’t have the engineering capability to deliver it in-house.</w:t>
      </w:r>
    </w:p>
    <w:p w14:paraId="2CD73E71" w14:textId="77777777" w:rsidR="003169F9" w:rsidRPr="00A76CEF" w:rsidRDefault="3B991599">
      <w:pPr>
        <w:spacing w:after="160"/>
        <w:rPr>
          <w:sz w:val="21"/>
          <w:szCs w:val="21"/>
        </w:rPr>
      </w:pPr>
      <w:r w:rsidRPr="00A76CEF">
        <w:rPr>
          <w:sz w:val="21"/>
          <w:szCs w:val="21"/>
          <w:lang w:val="en-US"/>
        </w:rPr>
        <w:t xml:space="preserve">We focus exclusively on building robust, production-grade data infrastructure that our clients can rely on every day. We solve one problem end-to-end: getting raw, messy data into a clean, governed, </w:t>
      </w:r>
      <w:proofErr w:type="spellStart"/>
      <w:r w:rsidRPr="00A76CEF">
        <w:rPr>
          <w:sz w:val="21"/>
          <w:szCs w:val="21"/>
          <w:lang w:val="en-US"/>
        </w:rPr>
        <w:t>queryable</w:t>
      </w:r>
      <w:proofErr w:type="spellEnd"/>
      <w:r w:rsidRPr="00A76CEF">
        <w:rPr>
          <w:sz w:val="21"/>
          <w:szCs w:val="21"/>
          <w:lang w:val="en-US"/>
        </w:rPr>
        <w:t xml:space="preserve"> state and delivering actionable insight on top of it.</w:t>
      </w:r>
    </w:p>
    <w:p w14:paraId="66299665" w14:textId="77777777" w:rsidR="003169F9" w:rsidRPr="00A76CEF" w:rsidRDefault="3B991599">
      <w:pPr>
        <w:spacing w:after="160"/>
        <w:rPr>
          <w:sz w:val="21"/>
          <w:szCs w:val="21"/>
        </w:rPr>
      </w:pPr>
      <w:r w:rsidRPr="00A76CEF">
        <w:rPr>
          <w:sz w:val="21"/>
          <w:szCs w:val="21"/>
          <w:lang w:val="en-US"/>
        </w:rPr>
        <w:t xml:space="preserve">Every engagement starts with a structured discovery phase. We diagnose the client’s data landscape and define a clear scope of work. From there, we onboard clients onto our managed delivery platform: a </w:t>
      </w:r>
      <w:proofErr w:type="spellStart"/>
      <w:r w:rsidRPr="00A76CEF">
        <w:rPr>
          <w:sz w:val="21"/>
          <w:szCs w:val="21"/>
          <w:lang w:val="en-US"/>
        </w:rPr>
        <w:t>standardised</w:t>
      </w:r>
      <w:proofErr w:type="spellEnd"/>
      <w:r w:rsidRPr="00A76CEF">
        <w:rPr>
          <w:sz w:val="21"/>
          <w:szCs w:val="21"/>
          <w:lang w:val="en-US"/>
        </w:rPr>
        <w:t xml:space="preserve"> infrastructure layer covering orchestration, warehousing, monitoring, and reporting, configured to each client’s requirements.</w:t>
      </w:r>
    </w:p>
    <w:p w14:paraId="66299666" w14:textId="77777777" w:rsidR="003169F9" w:rsidRPr="00A76CEF" w:rsidRDefault="3B991599">
      <w:pPr>
        <w:spacing w:after="160"/>
        <w:rPr>
          <w:sz w:val="21"/>
          <w:szCs w:val="21"/>
        </w:rPr>
      </w:pPr>
      <w:r w:rsidRPr="00A76CEF">
        <w:rPr>
          <w:sz w:val="21"/>
          <w:szCs w:val="21"/>
          <w:lang w:val="en-US"/>
        </w:rPr>
        <w:t>For clients, this means faster time to value, full visibility into project health and system status from day one, and a seamless transition from initial build to ongoing managed service. Their data infrastructure is always monitored, maintained, and evolving with their needs.</w:t>
      </w:r>
    </w:p>
    <w:p w14:paraId="4AACAB31" w14:textId="77777777" w:rsidR="003169F9" w:rsidRPr="00A76CEF" w:rsidRDefault="0032503F">
      <w:pPr>
        <w:pStyle w:val="heading20"/>
        <w:rPr>
          <w:sz w:val="24"/>
          <w:szCs w:val="24"/>
        </w:rPr>
      </w:pPr>
      <w:r w:rsidRPr="00A76CEF">
        <w:rPr>
          <w:sz w:val="24"/>
          <w:szCs w:val="24"/>
        </w:rPr>
        <w:t>The Problem We Solve</w:t>
      </w:r>
    </w:p>
    <w:p w14:paraId="71319F70" w14:textId="4DC64C86" w:rsidR="003169F9" w:rsidRPr="00A76CEF" w:rsidRDefault="3B991599">
      <w:pPr>
        <w:spacing w:after="160"/>
        <w:rPr>
          <w:sz w:val="21"/>
          <w:szCs w:val="21"/>
        </w:rPr>
      </w:pPr>
      <w:r w:rsidRPr="00A76CEF">
        <w:rPr>
          <w:sz w:val="21"/>
          <w:szCs w:val="21"/>
          <w:lang w:val="en-US"/>
        </w:rPr>
        <w:t xml:space="preserve">Mid-market companies (typically 50 to 500 employees) accumulate huge amounts of valuable data across their </w:t>
      </w:r>
      <w:proofErr w:type="gramStart"/>
      <w:r w:rsidRPr="00A76CEF">
        <w:rPr>
          <w:sz w:val="21"/>
          <w:szCs w:val="21"/>
          <w:lang w:val="en-US"/>
        </w:rPr>
        <w:t>systems, but</w:t>
      </w:r>
      <w:proofErr w:type="gramEnd"/>
      <w:r w:rsidRPr="00A76CEF">
        <w:rPr>
          <w:sz w:val="21"/>
          <w:szCs w:val="21"/>
          <w:lang w:val="en-US"/>
        </w:rPr>
        <w:t xml:space="preserve"> struggle to bring it together in a way that drives decisions.</w:t>
      </w:r>
    </w:p>
    <w:p w14:paraId="71319F71" w14:textId="77777777" w:rsidR="003169F9" w:rsidRPr="00A76CEF" w:rsidRDefault="3B991599">
      <w:pPr>
        <w:spacing w:after="160"/>
        <w:rPr>
          <w:sz w:val="21"/>
          <w:szCs w:val="21"/>
        </w:rPr>
      </w:pPr>
      <w:r w:rsidRPr="00A76CEF">
        <w:rPr>
          <w:sz w:val="21"/>
          <w:szCs w:val="21"/>
          <w:lang w:val="en-US"/>
        </w:rPr>
        <w:t>When they try to solve this, none of the common options work well. Hiring a data analyst or data scientist doesn’t help, because these roles aren’t designed to build the foundational infrastructure. Hiring a single data engineer rarely works either, because one person can’t realistically deliver and maintain a complete solution on their own.</w:t>
      </w:r>
    </w:p>
    <w:p w14:paraId="71319F72" w14:textId="77777777" w:rsidR="003169F9" w:rsidRPr="00A76CEF" w:rsidRDefault="3B991599">
      <w:pPr>
        <w:spacing w:after="160"/>
        <w:rPr>
          <w:sz w:val="21"/>
          <w:szCs w:val="21"/>
        </w:rPr>
      </w:pPr>
      <w:r w:rsidRPr="00A76CEF">
        <w:rPr>
          <w:sz w:val="21"/>
          <w:szCs w:val="21"/>
          <w:lang w:val="en-US"/>
        </w:rPr>
        <w:t>Then there are generalist consultancies. Because these firms spread themselves across many disciplines, the quality of their data engineering work is often poor. The scope bloats into machine learning, BI tooling, and strategy work that wasn’t needed. In every case, the core problem (reliable data engineering) goes unsolved, and budget is wasted.</w:t>
      </w:r>
    </w:p>
    <w:p w14:paraId="449A42EC" w14:textId="77777777" w:rsidR="003169F9" w:rsidRPr="00A76CEF" w:rsidRDefault="0032503F">
      <w:pPr>
        <w:pStyle w:val="heading20"/>
        <w:rPr>
          <w:sz w:val="24"/>
          <w:szCs w:val="24"/>
        </w:rPr>
      </w:pPr>
      <w:r w:rsidRPr="00A76CEF">
        <w:rPr>
          <w:sz w:val="24"/>
          <w:szCs w:val="24"/>
        </w:rPr>
        <w:t>Value Proposition</w:t>
      </w:r>
    </w:p>
    <w:p w14:paraId="30A1BB4E" w14:textId="77777777" w:rsidR="003169F9" w:rsidRPr="00A76CEF" w:rsidRDefault="3B991599">
      <w:pPr>
        <w:spacing w:after="160"/>
        <w:rPr>
          <w:sz w:val="21"/>
          <w:szCs w:val="21"/>
        </w:rPr>
      </w:pPr>
      <w:r w:rsidRPr="00A76CEF">
        <w:rPr>
          <w:sz w:val="21"/>
          <w:szCs w:val="21"/>
          <w:lang w:val="en-US"/>
        </w:rPr>
        <w:t>We are the alternative that eliminates these failure modes. As a dedicated data engineering platform backed by an experienced team, we bring deep specialist expertise without the overhead of permanent hires, and a level of focus that generalist firms cannot match.</w:t>
      </w:r>
    </w:p>
    <w:p w14:paraId="30A1BB4F" w14:textId="77777777" w:rsidR="003169F9" w:rsidRPr="00A76CEF" w:rsidRDefault="3B991599">
      <w:pPr>
        <w:spacing w:after="160"/>
        <w:rPr>
          <w:sz w:val="21"/>
          <w:szCs w:val="21"/>
        </w:rPr>
      </w:pPr>
      <w:r w:rsidRPr="00A76CEF">
        <w:rPr>
          <w:sz w:val="21"/>
          <w:szCs w:val="21"/>
          <w:lang w:val="en-US"/>
        </w:rPr>
        <w:t xml:space="preserve">Even if a client were to hire their own data engineers, they would struggle to match the quality of what we deliver. Our platform </w:t>
      </w:r>
      <w:proofErr w:type="spellStart"/>
      <w:r w:rsidRPr="00A76CEF">
        <w:rPr>
          <w:sz w:val="21"/>
          <w:szCs w:val="21"/>
          <w:lang w:val="en-US"/>
        </w:rPr>
        <w:t>standardises</w:t>
      </w:r>
      <w:proofErr w:type="spellEnd"/>
      <w:r w:rsidRPr="00A76CEF">
        <w:rPr>
          <w:sz w:val="21"/>
          <w:szCs w:val="21"/>
          <w:lang w:val="en-US"/>
        </w:rPr>
        <w:t xml:space="preserve"> </w:t>
      </w:r>
      <w:proofErr w:type="gramStart"/>
      <w:r w:rsidRPr="00A76CEF">
        <w:rPr>
          <w:sz w:val="21"/>
          <w:szCs w:val="21"/>
          <w:lang w:val="en-US"/>
        </w:rPr>
        <w:t>delivery</w:t>
      </w:r>
      <w:proofErr w:type="gramEnd"/>
      <w:r w:rsidRPr="00A76CEF">
        <w:rPr>
          <w:sz w:val="21"/>
          <w:szCs w:val="21"/>
          <w:lang w:val="en-US"/>
        </w:rPr>
        <w:t xml:space="preserve"> so clients get repeatable quality, transparent progress, and a clear path from initial engagement to ongoing managed service. Every part of our operation (our tooling, our process, our expertise) is </w:t>
      </w:r>
      <w:proofErr w:type="spellStart"/>
      <w:r w:rsidRPr="00A76CEF">
        <w:rPr>
          <w:sz w:val="21"/>
          <w:szCs w:val="21"/>
          <w:lang w:val="en-US"/>
        </w:rPr>
        <w:t>optimised</w:t>
      </w:r>
      <w:proofErr w:type="spellEnd"/>
      <w:r w:rsidRPr="00A76CEF">
        <w:rPr>
          <w:sz w:val="21"/>
          <w:szCs w:val="21"/>
          <w:lang w:val="en-US"/>
        </w:rPr>
        <w:t xml:space="preserve"> for this single discipline. That depth of </w:t>
      </w:r>
      <w:proofErr w:type="spellStart"/>
      <w:r w:rsidRPr="00A76CEF">
        <w:rPr>
          <w:sz w:val="21"/>
          <w:szCs w:val="21"/>
          <w:lang w:val="en-US"/>
        </w:rPr>
        <w:t>specialisation</w:t>
      </w:r>
      <w:proofErr w:type="spellEnd"/>
      <w:r w:rsidRPr="00A76CEF">
        <w:rPr>
          <w:sz w:val="21"/>
          <w:szCs w:val="21"/>
          <w:lang w:val="en-US"/>
        </w:rPr>
        <w:t xml:space="preserve"> is something a small in-house team simply cannot replicate.</w:t>
      </w:r>
    </w:p>
    <w:p w14:paraId="5E3E015C" w14:textId="77777777" w:rsidR="003169F9" w:rsidRPr="00A76CEF" w:rsidRDefault="0032503F">
      <w:pPr>
        <w:pStyle w:val="heading20"/>
        <w:rPr>
          <w:sz w:val="24"/>
          <w:szCs w:val="24"/>
        </w:rPr>
      </w:pPr>
      <w:r w:rsidRPr="00A76CEF">
        <w:rPr>
          <w:sz w:val="24"/>
          <w:szCs w:val="24"/>
        </w:rPr>
        <w:t>Target Audience</w:t>
      </w:r>
    </w:p>
    <w:p w14:paraId="5FAA4F1D" w14:textId="77777777" w:rsidR="003169F9" w:rsidRPr="00A76CEF" w:rsidRDefault="3B991599">
      <w:pPr>
        <w:spacing w:after="160"/>
        <w:rPr>
          <w:sz w:val="21"/>
          <w:szCs w:val="21"/>
        </w:rPr>
      </w:pPr>
      <w:r w:rsidRPr="00A76CEF">
        <w:rPr>
          <w:sz w:val="21"/>
          <w:szCs w:val="21"/>
          <w:lang w:val="en-US"/>
        </w:rPr>
        <w:t xml:space="preserve">Our primary clients are mid-market businesses that have outgrown spreadsheets and manual reporting but are not large enough to justify a dedicated internal data engineering team. They typically have data spread across multiple operational systems with no unified </w:t>
      </w:r>
      <w:proofErr w:type="gramStart"/>
      <w:r w:rsidRPr="00A76CEF">
        <w:rPr>
          <w:sz w:val="21"/>
          <w:szCs w:val="21"/>
          <w:lang w:val="en-US"/>
        </w:rPr>
        <w:t>warehouse, and</w:t>
      </w:r>
      <w:proofErr w:type="gramEnd"/>
      <w:r w:rsidRPr="00A76CEF">
        <w:rPr>
          <w:sz w:val="21"/>
          <w:szCs w:val="21"/>
          <w:lang w:val="en-US"/>
        </w:rPr>
        <w:t xml:space="preserve"> have either failed at a previous attempt to solve this or are unsure where to start.</w:t>
      </w:r>
    </w:p>
    <w:p w14:paraId="5FAA4F1E" w14:textId="77777777" w:rsidR="003169F9" w:rsidRDefault="3B991599">
      <w:pPr>
        <w:spacing w:after="160"/>
        <w:rPr>
          <w:sz w:val="21"/>
          <w:szCs w:val="21"/>
          <w:lang w:val="en-US"/>
        </w:rPr>
      </w:pPr>
      <w:r w:rsidRPr="00A76CEF">
        <w:rPr>
          <w:sz w:val="21"/>
          <w:szCs w:val="21"/>
          <w:lang w:val="en-US"/>
        </w:rPr>
        <w:t xml:space="preserve">They may sit in any industry, but share a common profile: data-rich, engineering-poor, and underserved by the current market of generalist </w:t>
      </w:r>
      <w:proofErr w:type="gramStart"/>
      <w:r w:rsidRPr="00A76CEF">
        <w:rPr>
          <w:sz w:val="21"/>
          <w:szCs w:val="21"/>
          <w:lang w:val="en-US"/>
        </w:rPr>
        <w:t>consultancies</w:t>
      </w:r>
      <w:proofErr w:type="gramEnd"/>
      <w:r w:rsidRPr="00A76CEF">
        <w:rPr>
          <w:sz w:val="21"/>
          <w:szCs w:val="21"/>
          <w:lang w:val="en-US"/>
        </w:rPr>
        <w:t xml:space="preserve"> and misaligned hires.</w:t>
      </w:r>
    </w:p>
    <w:p w14:paraId="0960F8C7" w14:textId="1AB50A7E" w:rsidR="00CA26E9" w:rsidRDefault="00CA26E9">
      <w:pPr>
        <w:spacing w:after="160"/>
        <w:rPr>
          <w:color w:val="EE0000"/>
          <w:sz w:val="21"/>
          <w:szCs w:val="21"/>
        </w:rPr>
      </w:pPr>
      <w:r>
        <w:rPr>
          <w:color w:val="EE0000"/>
          <w:sz w:val="21"/>
          <w:szCs w:val="21"/>
        </w:rPr>
        <w:t>Some comments from Saul:</w:t>
      </w:r>
    </w:p>
    <w:p w14:paraId="72BA3F7C" w14:textId="1FB24393" w:rsidR="00CA26E9" w:rsidRPr="00CA26E9" w:rsidRDefault="00CA26E9" w:rsidP="00CA26E9">
      <w:pPr>
        <w:numPr>
          <w:ilvl w:val="0"/>
          <w:numId w:val="3"/>
        </w:numPr>
        <w:spacing w:after="160"/>
        <w:rPr>
          <w:color w:val="EE0000"/>
          <w:sz w:val="21"/>
          <w:szCs w:val="21"/>
          <w:lang w:val="en-US"/>
        </w:rPr>
      </w:pPr>
      <w:r w:rsidRPr="00CA26E9">
        <w:rPr>
          <w:color w:val="EE0000"/>
          <w:sz w:val="21"/>
          <w:szCs w:val="21"/>
          <w:lang w:val="en-US"/>
        </w:rPr>
        <w:lastRenderedPageBreak/>
        <w:t>Lead</w:t>
      </w:r>
      <w:r w:rsidR="0094193E" w:rsidRPr="0094193E">
        <w:rPr>
          <w:color w:val="EE0000"/>
          <w:sz w:val="21"/>
          <w:szCs w:val="21"/>
          <w:lang w:val="en-US"/>
        </w:rPr>
        <w:t>/emphasise</w:t>
      </w:r>
      <w:r w:rsidRPr="00CA26E9">
        <w:rPr>
          <w:color w:val="EE0000"/>
          <w:sz w:val="21"/>
          <w:szCs w:val="21"/>
          <w:lang w:val="en-US"/>
        </w:rPr>
        <w:t xml:space="preserve"> analytics as the outcome</w:t>
      </w:r>
      <w:r w:rsidR="0094193E">
        <w:rPr>
          <w:color w:val="EE0000"/>
          <w:sz w:val="21"/>
          <w:szCs w:val="21"/>
          <w:lang w:val="en-US"/>
        </w:rPr>
        <w:t>.</w:t>
      </w:r>
      <w:r w:rsidRPr="00CA26E9">
        <w:rPr>
          <w:color w:val="EE0000"/>
          <w:sz w:val="21"/>
          <w:szCs w:val="21"/>
          <w:lang w:val="en-US"/>
        </w:rPr>
        <w:t xml:space="preserve"> </w:t>
      </w:r>
      <w:r w:rsidR="0094193E">
        <w:rPr>
          <w:color w:val="EE0000"/>
          <w:sz w:val="21"/>
          <w:szCs w:val="21"/>
          <w:lang w:val="en-US"/>
        </w:rPr>
        <w:t>C</w:t>
      </w:r>
      <w:r w:rsidRPr="00CA26E9">
        <w:rPr>
          <w:color w:val="EE0000"/>
          <w:sz w:val="21"/>
          <w:szCs w:val="21"/>
          <w:lang w:val="en-US"/>
        </w:rPr>
        <w:t>lients want dashboards</w:t>
      </w:r>
      <w:r w:rsidR="0094193E">
        <w:rPr>
          <w:color w:val="EE0000"/>
          <w:sz w:val="21"/>
          <w:szCs w:val="21"/>
          <w:lang w:val="en-US"/>
        </w:rPr>
        <w:t>,</w:t>
      </w:r>
      <w:r w:rsidRPr="00CA26E9">
        <w:rPr>
          <w:color w:val="EE0000"/>
          <w:sz w:val="21"/>
          <w:szCs w:val="21"/>
          <w:lang w:val="en-US"/>
        </w:rPr>
        <w:t xml:space="preserve"> visibility</w:t>
      </w:r>
      <w:r w:rsidR="00E567ED">
        <w:rPr>
          <w:color w:val="EE0000"/>
          <w:sz w:val="21"/>
          <w:szCs w:val="21"/>
          <w:lang w:val="en-US"/>
        </w:rPr>
        <w:t>, and analytics</w:t>
      </w:r>
      <w:r w:rsidR="00407C4C">
        <w:rPr>
          <w:color w:val="EE0000"/>
          <w:sz w:val="21"/>
          <w:szCs w:val="21"/>
          <w:lang w:val="en-US"/>
        </w:rPr>
        <w:t xml:space="preserve"> to assist with decisions. D</w:t>
      </w:r>
      <w:r w:rsidRPr="00CA26E9">
        <w:rPr>
          <w:color w:val="EE0000"/>
          <w:sz w:val="21"/>
          <w:szCs w:val="21"/>
          <w:lang w:val="en-US"/>
        </w:rPr>
        <w:t xml:space="preserve">ata warehousing is just </w:t>
      </w:r>
      <w:r w:rsidR="00407C4C">
        <w:rPr>
          <w:color w:val="EE0000"/>
          <w:sz w:val="21"/>
          <w:szCs w:val="21"/>
          <w:lang w:val="en-US"/>
        </w:rPr>
        <w:t xml:space="preserve">perhaps more of a way to get there than the end solution. Consider </w:t>
      </w:r>
      <w:r w:rsidR="00E567ED">
        <w:rPr>
          <w:color w:val="EE0000"/>
          <w:sz w:val="21"/>
          <w:szCs w:val="21"/>
          <w:lang w:val="en-US"/>
        </w:rPr>
        <w:t>phrasing as such.</w:t>
      </w:r>
    </w:p>
    <w:p w14:paraId="6E226092" w14:textId="00770DF9" w:rsidR="00CA26E9" w:rsidRPr="00CA26E9" w:rsidRDefault="00E567ED" w:rsidP="00CA26E9">
      <w:pPr>
        <w:numPr>
          <w:ilvl w:val="0"/>
          <w:numId w:val="3"/>
        </w:numPr>
        <w:spacing w:after="160"/>
        <w:rPr>
          <w:color w:val="EE0000"/>
          <w:sz w:val="21"/>
          <w:szCs w:val="21"/>
          <w:lang w:val="en-US"/>
        </w:rPr>
      </w:pPr>
      <w:r>
        <w:rPr>
          <w:color w:val="EE0000"/>
          <w:sz w:val="21"/>
          <w:szCs w:val="21"/>
          <w:lang w:val="en-US"/>
        </w:rPr>
        <w:t>S</w:t>
      </w:r>
      <w:r w:rsidR="00CA26E9" w:rsidRPr="00CA26E9">
        <w:rPr>
          <w:color w:val="EE0000"/>
          <w:sz w:val="21"/>
          <w:szCs w:val="21"/>
          <w:lang w:val="en-US"/>
        </w:rPr>
        <w:t xml:space="preserve">peed </w:t>
      </w:r>
      <w:r>
        <w:rPr>
          <w:color w:val="EE0000"/>
          <w:sz w:val="21"/>
          <w:szCs w:val="21"/>
          <w:lang w:val="en-US"/>
        </w:rPr>
        <w:t xml:space="preserve">(our ability </w:t>
      </w:r>
      <w:r w:rsidR="00CA26E9" w:rsidRPr="00CA26E9">
        <w:rPr>
          <w:color w:val="EE0000"/>
          <w:sz w:val="21"/>
          <w:szCs w:val="21"/>
          <w:lang w:val="en-US"/>
        </w:rPr>
        <w:t>to turn around tailored demos and go live quickly</w:t>
      </w:r>
      <w:r>
        <w:rPr>
          <w:color w:val="EE0000"/>
          <w:sz w:val="21"/>
          <w:szCs w:val="21"/>
          <w:lang w:val="en-US"/>
        </w:rPr>
        <w:t>)</w:t>
      </w:r>
      <w:r w:rsidR="00CA26E9" w:rsidRPr="00CA26E9">
        <w:rPr>
          <w:color w:val="EE0000"/>
          <w:sz w:val="21"/>
          <w:szCs w:val="21"/>
          <w:lang w:val="en-US"/>
        </w:rPr>
        <w:t xml:space="preserve"> is a key differentiator that's underplayed.</w:t>
      </w:r>
    </w:p>
    <w:p w14:paraId="37DFA9DD" w14:textId="6F65E88C" w:rsidR="00CA26E9" w:rsidRPr="00CA26E9" w:rsidRDefault="00CA26E9" w:rsidP="00CA26E9">
      <w:pPr>
        <w:numPr>
          <w:ilvl w:val="0"/>
          <w:numId w:val="3"/>
        </w:numPr>
        <w:spacing w:after="160"/>
        <w:rPr>
          <w:color w:val="EE0000"/>
          <w:sz w:val="21"/>
          <w:szCs w:val="21"/>
          <w:lang w:val="en-US"/>
        </w:rPr>
      </w:pPr>
      <w:r w:rsidRPr="00CA26E9">
        <w:rPr>
          <w:color w:val="EE0000"/>
          <w:sz w:val="21"/>
          <w:szCs w:val="21"/>
          <w:lang w:val="en-US"/>
        </w:rPr>
        <w:t xml:space="preserve">Add DIY platforms as a competitor </w:t>
      </w:r>
      <w:r w:rsidR="00B14862">
        <w:rPr>
          <w:color w:val="EE0000"/>
          <w:sz w:val="21"/>
          <w:szCs w:val="21"/>
          <w:lang w:val="en-US"/>
        </w:rPr>
        <w:t>such as</w:t>
      </w:r>
      <w:r w:rsidRPr="00CA26E9">
        <w:rPr>
          <w:color w:val="EE0000"/>
          <w:sz w:val="21"/>
          <w:szCs w:val="21"/>
          <w:lang w:val="en-US"/>
        </w:rPr>
        <w:t xml:space="preserve"> Databricks and similar self-service tools are a real alternative clients consider</w:t>
      </w:r>
      <w:r w:rsidR="00B14862">
        <w:rPr>
          <w:color w:val="EE0000"/>
          <w:sz w:val="21"/>
          <w:szCs w:val="21"/>
          <w:lang w:val="en-US"/>
        </w:rPr>
        <w:t>. Address shortcoming of these</w:t>
      </w:r>
      <w:r w:rsidRPr="00CA26E9">
        <w:rPr>
          <w:color w:val="EE0000"/>
          <w:sz w:val="21"/>
          <w:szCs w:val="21"/>
          <w:lang w:val="en-US"/>
        </w:rPr>
        <w:t>.</w:t>
      </w:r>
    </w:p>
    <w:p w14:paraId="63A1DE89" w14:textId="75551967" w:rsidR="00CA26E9" w:rsidRPr="00CA26E9" w:rsidRDefault="00CA26E9" w:rsidP="00CA26E9">
      <w:pPr>
        <w:numPr>
          <w:ilvl w:val="0"/>
          <w:numId w:val="3"/>
        </w:numPr>
        <w:spacing w:after="160"/>
        <w:rPr>
          <w:color w:val="EE0000"/>
          <w:sz w:val="21"/>
          <w:szCs w:val="21"/>
          <w:lang w:val="en-US"/>
        </w:rPr>
      </w:pPr>
      <w:r w:rsidRPr="00CA26E9">
        <w:rPr>
          <w:color w:val="EE0000"/>
          <w:sz w:val="21"/>
          <w:szCs w:val="21"/>
          <w:lang w:val="en-US"/>
        </w:rPr>
        <w:t>Frame discovery as a selling point</w:t>
      </w:r>
      <w:r w:rsidR="00517A6A">
        <w:rPr>
          <w:color w:val="EE0000"/>
          <w:sz w:val="21"/>
          <w:szCs w:val="21"/>
          <w:lang w:val="en-US"/>
        </w:rPr>
        <w:t>. T</w:t>
      </w:r>
      <w:r w:rsidRPr="00CA26E9">
        <w:rPr>
          <w:color w:val="EE0000"/>
          <w:sz w:val="21"/>
          <w:szCs w:val="21"/>
          <w:lang w:val="en-US"/>
        </w:rPr>
        <w:t>he diagnostic/discovery phase should feel valuable on its own</w:t>
      </w:r>
      <w:r w:rsidR="00517A6A">
        <w:rPr>
          <w:color w:val="EE0000"/>
          <w:sz w:val="21"/>
          <w:szCs w:val="21"/>
          <w:lang w:val="en-US"/>
        </w:rPr>
        <w:t xml:space="preserve"> as a key point.</w:t>
      </w:r>
    </w:p>
    <w:p w14:paraId="53E31C70" w14:textId="57CF38E1" w:rsidR="00CA26E9" w:rsidRPr="00CA26E9" w:rsidRDefault="00CA26E9" w:rsidP="00CA26E9">
      <w:pPr>
        <w:numPr>
          <w:ilvl w:val="0"/>
          <w:numId w:val="3"/>
        </w:numPr>
        <w:spacing w:after="160"/>
        <w:rPr>
          <w:color w:val="EE0000"/>
          <w:sz w:val="21"/>
          <w:szCs w:val="21"/>
          <w:lang w:val="en-US"/>
        </w:rPr>
      </w:pPr>
      <w:r w:rsidRPr="00CA26E9">
        <w:rPr>
          <w:color w:val="EE0000"/>
          <w:sz w:val="21"/>
          <w:szCs w:val="21"/>
          <w:lang w:val="en-US"/>
        </w:rPr>
        <w:t xml:space="preserve">Articulate the long-term relationship model </w:t>
      </w:r>
      <w:r w:rsidR="00C25C0A">
        <w:rPr>
          <w:color w:val="EE0000"/>
          <w:sz w:val="21"/>
          <w:szCs w:val="21"/>
          <w:lang w:val="en-US"/>
        </w:rPr>
        <w:t>which could also be a big value-add.</w:t>
      </w:r>
      <w:r w:rsidRPr="00CA26E9">
        <w:rPr>
          <w:color w:val="EE0000"/>
          <w:sz w:val="21"/>
          <w:szCs w:val="21"/>
          <w:lang w:val="en-US"/>
        </w:rPr>
        <w:t xml:space="preserve"> </w:t>
      </w:r>
      <w:r w:rsidR="00C25C0A">
        <w:rPr>
          <w:color w:val="EE0000"/>
          <w:sz w:val="21"/>
          <w:szCs w:val="21"/>
          <w:lang w:val="en-US"/>
        </w:rPr>
        <w:t>M</w:t>
      </w:r>
      <w:r w:rsidRPr="00CA26E9">
        <w:rPr>
          <w:color w:val="EE0000"/>
          <w:sz w:val="21"/>
          <w:szCs w:val="21"/>
          <w:lang w:val="en-US"/>
        </w:rPr>
        <w:t>ake the case for ongoing managed service that scales with the clien</w:t>
      </w:r>
      <w:r w:rsidR="00C25C0A">
        <w:rPr>
          <w:color w:val="EE0000"/>
          <w:sz w:val="21"/>
          <w:szCs w:val="21"/>
          <w:lang w:val="en-US"/>
        </w:rPr>
        <w:t xml:space="preserve">t that goes far beyond </w:t>
      </w:r>
      <w:r w:rsidRPr="00CA26E9">
        <w:rPr>
          <w:color w:val="EE0000"/>
          <w:sz w:val="21"/>
          <w:szCs w:val="21"/>
          <w:lang w:val="en-US"/>
        </w:rPr>
        <w:t>just project-based work.</w:t>
      </w:r>
    </w:p>
    <w:p w14:paraId="3F2B41C8" w14:textId="77777777" w:rsidR="00CA26E9" w:rsidRPr="00CA26E9" w:rsidRDefault="00CA26E9">
      <w:pPr>
        <w:spacing w:after="160"/>
        <w:rPr>
          <w:color w:val="EE0000"/>
          <w:sz w:val="21"/>
          <w:szCs w:val="21"/>
        </w:rPr>
      </w:pPr>
    </w:p>
    <w:sectPr w:rsidR="00CA26E9" w:rsidRPr="00CA26E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5D327"/>
    <w:multiLevelType w:val="hybridMultilevel"/>
    <w:tmpl w:val="28C8029E"/>
    <w:lvl w:ilvl="0" w:tplc="D114985A">
      <w:start w:val="1"/>
      <w:numFmt w:val="bullet"/>
      <w:lvlText w:val="●"/>
      <w:lvlJc w:val="left"/>
      <w:pPr>
        <w:ind w:left="720" w:hanging="360"/>
      </w:pPr>
    </w:lvl>
    <w:lvl w:ilvl="1" w:tplc="3C5052FC">
      <w:start w:val="1"/>
      <w:numFmt w:val="bullet"/>
      <w:lvlText w:val="○"/>
      <w:lvlJc w:val="left"/>
      <w:pPr>
        <w:ind w:left="1440" w:hanging="360"/>
      </w:pPr>
    </w:lvl>
    <w:lvl w:ilvl="2" w:tplc="E59049C0">
      <w:start w:val="1"/>
      <w:numFmt w:val="bullet"/>
      <w:lvlText w:val="■"/>
      <w:lvlJc w:val="left"/>
      <w:pPr>
        <w:ind w:left="2160" w:hanging="360"/>
      </w:pPr>
    </w:lvl>
    <w:lvl w:ilvl="3" w:tplc="BE9A8CFA">
      <w:start w:val="1"/>
      <w:numFmt w:val="bullet"/>
      <w:lvlText w:val="●"/>
      <w:lvlJc w:val="left"/>
      <w:pPr>
        <w:ind w:left="2880" w:hanging="360"/>
      </w:pPr>
    </w:lvl>
    <w:lvl w:ilvl="4" w:tplc="D3BA3118">
      <w:start w:val="1"/>
      <w:numFmt w:val="bullet"/>
      <w:lvlText w:val="○"/>
      <w:lvlJc w:val="left"/>
      <w:pPr>
        <w:ind w:left="3600" w:hanging="360"/>
      </w:pPr>
    </w:lvl>
    <w:lvl w:ilvl="5" w:tplc="B5CC0596">
      <w:start w:val="1"/>
      <w:numFmt w:val="bullet"/>
      <w:lvlText w:val="■"/>
      <w:lvlJc w:val="left"/>
      <w:pPr>
        <w:ind w:left="4320" w:hanging="360"/>
      </w:pPr>
    </w:lvl>
    <w:lvl w:ilvl="6" w:tplc="9EC8F38E">
      <w:start w:val="1"/>
      <w:numFmt w:val="bullet"/>
      <w:lvlText w:val="●"/>
      <w:lvlJc w:val="left"/>
      <w:pPr>
        <w:ind w:left="5040" w:hanging="360"/>
      </w:pPr>
    </w:lvl>
    <w:lvl w:ilvl="7" w:tplc="30FEFC80">
      <w:start w:val="1"/>
      <w:numFmt w:val="bullet"/>
      <w:lvlText w:val="●"/>
      <w:lvlJc w:val="left"/>
      <w:pPr>
        <w:ind w:left="5760" w:hanging="360"/>
      </w:pPr>
    </w:lvl>
    <w:lvl w:ilvl="8" w:tplc="4BBA7D40">
      <w:start w:val="1"/>
      <w:numFmt w:val="bullet"/>
      <w:lvlText w:val="●"/>
      <w:lvlJc w:val="left"/>
      <w:pPr>
        <w:ind w:left="6480" w:hanging="360"/>
      </w:pPr>
    </w:lvl>
  </w:abstractNum>
  <w:abstractNum w:abstractNumId="1" w15:restartNumberingAfterBreak="0">
    <w:nsid w:val="75B20E27"/>
    <w:multiLevelType w:val="multilevel"/>
    <w:tmpl w:val="92180C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D929CC"/>
    <w:multiLevelType w:val="multilevel"/>
    <w:tmpl w:val="48D6A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7806679">
    <w:abstractNumId w:val="0"/>
    <w:lvlOverride w:ilvl="0">
      <w:startOverride w:val="1"/>
    </w:lvlOverride>
  </w:num>
  <w:num w:numId="2" w16cid:durableId="1142187809">
    <w:abstractNumId w:val="2"/>
  </w:num>
  <w:num w:numId="3" w16cid:durableId="8573067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B991599"/>
    <w:rsid w:val="002F645F"/>
    <w:rsid w:val="003169F9"/>
    <w:rsid w:val="0032503F"/>
    <w:rsid w:val="00407C4C"/>
    <w:rsid w:val="00517A6A"/>
    <w:rsid w:val="00663699"/>
    <w:rsid w:val="0094193E"/>
    <w:rsid w:val="00A76CEF"/>
    <w:rsid w:val="00B14862"/>
    <w:rsid w:val="00C11C33"/>
    <w:rsid w:val="00C14031"/>
    <w:rsid w:val="00C25C0A"/>
    <w:rsid w:val="00CA26E9"/>
    <w:rsid w:val="00CD7C14"/>
    <w:rsid w:val="00D22611"/>
    <w:rsid w:val="00E567ED"/>
    <w:rsid w:val="3B9915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77DC0"/>
  <w15:docId w15:val="{0E05A6CE-3636-48ED-95F5-2D5B8A9E9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240" w:after="120"/>
      <w:outlineLvl w:val="0"/>
    </w:pPr>
    <w:rPr>
      <w:b/>
      <w:bCs/>
      <w:sz w:val="32"/>
      <w:szCs w:val="32"/>
    </w:rPr>
  </w:style>
  <w:style w:type="paragraph" w:customStyle="1" w:styleId="heading20">
    <w:name w:val="heading 20"/>
    <w:qFormat/>
    <w:pPr>
      <w:spacing w:before="200" w:after="100"/>
      <w:outlineLvl w:val="1"/>
    </w:pPr>
    <w:rPr>
      <w:b/>
      <w:bCs/>
      <w:sz w:val="26"/>
      <w:szCs w:val="26"/>
    </w:rPr>
  </w:style>
  <w:style w:type="character" w:styleId="CommentReference">
    <w:name w:val="annotation reference"/>
    <w:basedOn w:val="DefaultParagraphFont"/>
    <w:uiPriority w:val="99"/>
    <w:semiHidden/>
    <w:unhideWhenUsed/>
    <w:rsid w:val="00D22611"/>
    <w:rPr>
      <w:sz w:val="16"/>
      <w:szCs w:val="16"/>
    </w:rPr>
  </w:style>
  <w:style w:type="paragraph" w:styleId="CommentText">
    <w:name w:val="annotation text"/>
    <w:basedOn w:val="Normal"/>
    <w:link w:val="CommentTextChar"/>
    <w:uiPriority w:val="99"/>
    <w:unhideWhenUsed/>
    <w:rsid w:val="00D22611"/>
    <w:rPr>
      <w:sz w:val="20"/>
      <w:szCs w:val="20"/>
    </w:rPr>
  </w:style>
  <w:style w:type="character" w:customStyle="1" w:styleId="CommentTextChar">
    <w:name w:val="Comment Text Char"/>
    <w:basedOn w:val="DefaultParagraphFont"/>
    <w:link w:val="CommentText"/>
    <w:uiPriority w:val="99"/>
    <w:rsid w:val="00D22611"/>
    <w:rPr>
      <w:sz w:val="20"/>
      <w:szCs w:val="20"/>
    </w:rPr>
  </w:style>
  <w:style w:type="paragraph" w:styleId="CommentSubject">
    <w:name w:val="annotation subject"/>
    <w:basedOn w:val="CommentText"/>
    <w:next w:val="CommentText"/>
    <w:link w:val="CommentSubjectChar"/>
    <w:uiPriority w:val="99"/>
    <w:semiHidden/>
    <w:unhideWhenUsed/>
    <w:rsid w:val="00D22611"/>
    <w:rPr>
      <w:b/>
      <w:bCs/>
    </w:rPr>
  </w:style>
  <w:style w:type="character" w:customStyle="1" w:styleId="CommentSubjectChar">
    <w:name w:val="Comment Subject Char"/>
    <w:basedOn w:val="CommentTextChar"/>
    <w:link w:val="CommentSubject"/>
    <w:uiPriority w:val="99"/>
    <w:semiHidden/>
    <w:rsid w:val="00D2261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628</Words>
  <Characters>3561</Characters>
  <Application>Microsoft Office Word</Application>
  <DocSecurity>0</DocSecurity>
  <Lines>54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Saul Bloch</cp:lastModifiedBy>
  <cp:revision>13</cp:revision>
  <dcterms:created xsi:type="dcterms:W3CDTF">2026-02-12T15:16:00Z</dcterms:created>
  <dcterms:modified xsi:type="dcterms:W3CDTF">2026-02-13T14:46:00Z</dcterms:modified>
</cp:coreProperties>
</file>