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F1A" w:rsidRPr="007B7BD5" w:rsidRDefault="00F77F1A" w:rsidP="00F77F1A">
      <w:pPr>
        <w:pStyle w:val="Articletitle"/>
        <w:spacing w:before="0"/>
        <w:rPr>
          <w:rFonts w:cs="Helvetica"/>
          <w:i/>
          <w:sz w:val="40"/>
          <w:szCs w:val="40"/>
        </w:rPr>
      </w:pPr>
      <w:r w:rsidRPr="007B7BD5">
        <w:rPr>
          <w:rFonts w:cs="Helvetica"/>
          <w:i/>
          <w:sz w:val="40"/>
          <w:szCs w:val="40"/>
        </w:rPr>
        <w:t>K. Okonechnikov et al.</w:t>
      </w:r>
    </w:p>
    <w:p w:rsidR="00F77F1A" w:rsidRPr="007B7BD5" w:rsidRDefault="00F77F1A" w:rsidP="00F77F1A">
      <w:pPr>
        <w:pStyle w:val="Articletitle"/>
        <w:spacing w:before="0"/>
        <w:rPr>
          <w:rFonts w:cs="Helvetica"/>
          <w:i/>
          <w:sz w:val="40"/>
          <w:szCs w:val="40"/>
        </w:rPr>
      </w:pPr>
    </w:p>
    <w:p w:rsidR="00F77F1A" w:rsidRPr="007B7BD5" w:rsidRDefault="00D436C5" w:rsidP="00F77F1A">
      <w:pPr>
        <w:pStyle w:val="Articletitle"/>
        <w:spacing w:before="0"/>
        <w:rPr>
          <w:rFonts w:cs="Helvetica"/>
          <w:sz w:val="40"/>
          <w:szCs w:val="40"/>
        </w:rPr>
      </w:pPr>
      <w:r>
        <w:rPr>
          <w:rFonts w:cs="Helvetica"/>
          <w:sz w:val="40"/>
          <w:szCs w:val="40"/>
        </w:rPr>
        <w:t>Qualimap 2</w:t>
      </w:r>
      <w:r w:rsidR="00F77F1A" w:rsidRPr="007B7BD5">
        <w:rPr>
          <w:rFonts w:cs="Helvetica"/>
          <w:sz w:val="40"/>
          <w:szCs w:val="40"/>
        </w:rPr>
        <w:t>:</w:t>
      </w:r>
      <w:r>
        <w:rPr>
          <w:rFonts w:cs="Helvetica"/>
          <w:sz w:val="40"/>
          <w:szCs w:val="40"/>
        </w:rPr>
        <w:t xml:space="preserve"> advanced</w:t>
      </w:r>
      <w:r w:rsidR="00F77F1A" w:rsidRPr="007B7BD5">
        <w:rPr>
          <w:rFonts w:cs="Helvetica"/>
          <w:sz w:val="40"/>
          <w:szCs w:val="40"/>
        </w:rPr>
        <w:t xml:space="preserve"> multi-sample quality control for high</w:t>
      </w:r>
      <w:r w:rsidR="00A77017">
        <w:rPr>
          <w:rFonts w:cs="Helvetica"/>
          <w:sz w:val="40"/>
          <w:szCs w:val="40"/>
        </w:rPr>
        <w:t>-</w:t>
      </w:r>
      <w:r w:rsidR="00F77F1A" w:rsidRPr="007B7BD5">
        <w:rPr>
          <w:rFonts w:cs="Helvetica"/>
          <w:sz w:val="40"/>
          <w:szCs w:val="40"/>
        </w:rPr>
        <w:t>throughput sequencing data</w:t>
      </w:r>
    </w:p>
    <w:p w:rsidR="000525E7" w:rsidRDefault="000525E7">
      <w:pPr>
        <w:rPr>
          <w:rFonts w:ascii="Helvetica" w:hAnsi="Helvetica" w:cs="Helvetica"/>
          <w:b/>
          <w:sz w:val="24"/>
          <w:szCs w:val="24"/>
          <w:lang w:val="en-US"/>
        </w:rPr>
      </w:pPr>
    </w:p>
    <w:p w:rsidR="000525E7" w:rsidRDefault="000525E7">
      <w:pPr>
        <w:rPr>
          <w:rFonts w:ascii="Helvetica" w:hAnsi="Helvetica" w:cs="Helvetica"/>
          <w:b/>
          <w:sz w:val="24"/>
          <w:szCs w:val="24"/>
          <w:lang w:val="en-US"/>
        </w:rPr>
      </w:pPr>
      <w:r>
        <w:rPr>
          <w:rFonts w:ascii="Helvetica" w:hAnsi="Helvetica" w:cs="Helvetica"/>
          <w:b/>
          <w:sz w:val="24"/>
          <w:szCs w:val="24"/>
          <w:lang w:val="en-US"/>
        </w:rPr>
        <w:t>Supplementary Materials</w:t>
      </w:r>
    </w:p>
    <w:p w:rsidR="000525E7" w:rsidRPr="000525E7" w:rsidRDefault="000525E7">
      <w:pPr>
        <w:rPr>
          <w:rFonts w:ascii="Helvetica" w:hAnsi="Helvetica" w:cs="Helvetica"/>
          <w:sz w:val="24"/>
          <w:szCs w:val="24"/>
          <w:lang w:val="en-US"/>
        </w:rPr>
      </w:pPr>
      <w:r w:rsidRPr="000525E7">
        <w:rPr>
          <w:rFonts w:ascii="Helvetica" w:hAnsi="Helvetica" w:cs="Helvetica"/>
          <w:sz w:val="24"/>
          <w:szCs w:val="24"/>
          <w:lang w:val="en-US"/>
        </w:rPr>
        <w:t xml:space="preserve">List </w:t>
      </w:r>
      <w:r w:rsidR="001E3D2A">
        <w:rPr>
          <w:rFonts w:ascii="Helvetica" w:hAnsi="Helvetica" w:cs="Helvetica"/>
          <w:sz w:val="24"/>
          <w:szCs w:val="24"/>
          <w:lang w:val="en-US"/>
        </w:rPr>
        <w:t xml:space="preserve">of improvements in </w:t>
      </w:r>
      <w:proofErr w:type="spellStart"/>
      <w:r w:rsidR="001E3D2A">
        <w:rPr>
          <w:rFonts w:ascii="Helvetica" w:hAnsi="Helvetica" w:cs="Helvetica"/>
          <w:sz w:val="24"/>
          <w:szCs w:val="24"/>
          <w:lang w:val="en-US"/>
        </w:rPr>
        <w:t>QualiMap</w:t>
      </w:r>
      <w:proofErr w:type="spellEnd"/>
      <w:r w:rsidR="001E3D2A">
        <w:rPr>
          <w:rFonts w:ascii="Helvetica" w:hAnsi="Helvetica" w:cs="Helvetica"/>
          <w:sz w:val="24"/>
          <w:szCs w:val="24"/>
          <w:lang w:val="en-US"/>
        </w:rPr>
        <w:t xml:space="preserve"> v2</w:t>
      </w:r>
      <w:r w:rsidRPr="000525E7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0525E7">
        <w:rPr>
          <w:rFonts w:ascii="Helvetica" w:hAnsi="Helvetica" w:cs="Helvetica"/>
          <w:sz w:val="24"/>
          <w:szCs w:val="24"/>
          <w:lang w:val="en-US"/>
        </w:rPr>
        <w:t>vs</w:t>
      </w:r>
      <w:proofErr w:type="spellEnd"/>
      <w:r w:rsidRPr="000525E7">
        <w:rPr>
          <w:rFonts w:ascii="Helvetica" w:hAnsi="Helvetica" w:cs="Helvetica"/>
          <w:sz w:val="24"/>
          <w:szCs w:val="24"/>
          <w:lang w:val="en-US"/>
        </w:rPr>
        <w:t xml:space="preserve"> previous releases</w:t>
      </w:r>
    </w:p>
    <w:p w:rsidR="000525E7" w:rsidRDefault="000525E7" w:rsidP="000525E7">
      <w:p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b/>
          <w:sz w:val="20"/>
          <w:szCs w:val="20"/>
          <w:lang w:val="en-US"/>
        </w:rPr>
        <w:t>BAM QC mode</w:t>
      </w:r>
    </w:p>
    <w:p w:rsidR="000525E7" w:rsidRPr="000525E7" w:rsidRDefault="000525E7" w:rsidP="000525E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Added analysis of errors and mismatches </w:t>
      </w:r>
    </w:p>
    <w:p w:rsidR="000525E7" w:rsidRPr="000525E7" w:rsidRDefault="000525E7" w:rsidP="000525E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Added additional metrics for coverage, mapping quality and insert size</w:t>
      </w:r>
    </w:p>
    <w:p w:rsidR="00C5076B" w:rsidRPr="00C5076B" w:rsidRDefault="00C5076B" w:rsidP="00C5076B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Added chromosome</w:t>
      </w:r>
      <w:r w:rsidR="00A77017">
        <w:rPr>
          <w:rFonts w:ascii="Helvetica" w:hAnsi="Helvetica" w:cs="Helvetica"/>
          <w:sz w:val="20"/>
          <w:szCs w:val="20"/>
          <w:lang w:val="en-US"/>
        </w:rPr>
        <w:t xml:space="preserve"> names in plots with chromosome</w:t>
      </w:r>
      <w:r>
        <w:rPr>
          <w:rFonts w:ascii="Helvetica" w:hAnsi="Helvetica" w:cs="Helvetica"/>
          <w:sz w:val="20"/>
          <w:szCs w:val="20"/>
          <w:lang w:val="en-US"/>
        </w:rPr>
        <w:t xml:space="preserve"> limits </w:t>
      </w:r>
    </w:p>
    <w:p w:rsidR="00C5076B" w:rsidRPr="00C5076B" w:rsidRDefault="00C5076B" w:rsidP="00C5076B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Added option to exclude duplicate alignments during analysis</w:t>
      </w:r>
    </w:p>
    <w:p w:rsidR="000525E7" w:rsidRPr="000525E7" w:rsidRDefault="000525E7" w:rsidP="000525E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Added option to set minimum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homopolymer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size</w:t>
      </w:r>
    </w:p>
    <w:p w:rsidR="000525E7" w:rsidRPr="00C5076B" w:rsidRDefault="000525E7" w:rsidP="000525E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Added option to provide SAM files as input</w:t>
      </w:r>
    </w:p>
    <w:p w:rsidR="000525E7" w:rsidRPr="009C5779" w:rsidRDefault="000525E7" w:rsidP="000525E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Improved report in plain text</w:t>
      </w:r>
      <w:r w:rsidR="00241D73">
        <w:rPr>
          <w:rFonts w:ascii="Helvetica" w:hAnsi="Helvetica" w:cs="Helvetica"/>
          <w:sz w:val="20"/>
          <w:szCs w:val="20"/>
          <w:lang w:val="en-US"/>
        </w:rPr>
        <w:t xml:space="preserve"> format</w:t>
      </w:r>
    </w:p>
    <w:p w:rsidR="00C5076B" w:rsidRPr="00C1331F" w:rsidRDefault="00C5076B" w:rsidP="000525E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 w:rsidRPr="00C1331F">
        <w:rPr>
          <w:rFonts w:ascii="Helvetica" w:hAnsi="Helvetica" w:cs="Helvetica"/>
          <w:sz w:val="20"/>
          <w:szCs w:val="20"/>
          <w:lang w:val="en-US"/>
        </w:rPr>
        <w:t xml:space="preserve">Improved </w:t>
      </w:r>
      <w:r w:rsidR="002C4A28">
        <w:rPr>
          <w:rFonts w:ascii="Helvetica" w:hAnsi="Helvetica" w:cs="Helvetica"/>
          <w:sz w:val="20"/>
          <w:szCs w:val="20"/>
          <w:lang w:val="en-US"/>
        </w:rPr>
        <w:t xml:space="preserve">warning </w:t>
      </w:r>
      <w:r w:rsidRPr="00C1331F">
        <w:rPr>
          <w:rFonts w:ascii="Helvetica" w:hAnsi="Helvetica" w:cs="Helvetica"/>
          <w:sz w:val="20"/>
          <w:szCs w:val="20"/>
          <w:lang w:val="en-US"/>
        </w:rPr>
        <w:t xml:space="preserve">reports </w:t>
      </w:r>
      <w:r w:rsidR="002C4A28">
        <w:rPr>
          <w:rFonts w:ascii="Helvetica" w:hAnsi="Helvetica" w:cs="Helvetica"/>
          <w:sz w:val="20"/>
          <w:szCs w:val="20"/>
          <w:lang w:val="en-US"/>
        </w:rPr>
        <w:t xml:space="preserve">(dataset analysis, memory control, etc.) </w:t>
      </w:r>
    </w:p>
    <w:p w:rsidR="00C1331F" w:rsidRPr="00C1331F" w:rsidRDefault="00C1331F" w:rsidP="00C1331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 w:rsidRPr="00C1331F">
        <w:rPr>
          <w:rFonts w:ascii="Helvetica" w:hAnsi="Helvetica" w:cs="Helvetica"/>
          <w:sz w:val="20"/>
          <w:szCs w:val="20"/>
          <w:lang w:val="en-US"/>
        </w:rPr>
        <w:t>Improved performance for long genomes</w:t>
      </w:r>
    </w:p>
    <w:p w:rsidR="00C1331F" w:rsidRPr="000525E7" w:rsidRDefault="00C1331F" w:rsidP="00C1331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 w:rsidRPr="00C1331F">
        <w:rPr>
          <w:rFonts w:ascii="Helvetica" w:hAnsi="Helvetica" w:cs="Helvetica"/>
          <w:sz w:val="20"/>
          <w:szCs w:val="20"/>
          <w:lang w:val="en-US"/>
        </w:rPr>
        <w:t>Improved plo</w:t>
      </w:r>
      <w:r>
        <w:rPr>
          <w:rFonts w:ascii="Helvetica" w:hAnsi="Helvetica" w:cs="Helvetica"/>
          <w:sz w:val="20"/>
          <w:szCs w:val="20"/>
          <w:lang w:val="en-US"/>
        </w:rPr>
        <w:t>ts with chromosome name indication</w:t>
      </w:r>
    </w:p>
    <w:p w:rsidR="000525E7" w:rsidRPr="000525E7" w:rsidRDefault="000525E7" w:rsidP="000525E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 w:rsidRPr="000525E7">
        <w:rPr>
          <w:rFonts w:ascii="Helvetica" w:hAnsi="Helvetica" w:cs="Helvetica"/>
          <w:sz w:val="20"/>
          <w:szCs w:val="20"/>
          <w:lang w:val="en-US"/>
        </w:rPr>
        <w:t xml:space="preserve">Multiple critical fixes including </w:t>
      </w:r>
      <w:proofErr w:type="spellStart"/>
      <w:r w:rsidRPr="000525E7">
        <w:rPr>
          <w:rFonts w:ascii="Helvetica" w:hAnsi="Helvetica" w:cs="Helvetica"/>
          <w:sz w:val="20"/>
          <w:szCs w:val="20"/>
          <w:lang w:val="en-US"/>
        </w:rPr>
        <w:t>indel</w:t>
      </w:r>
      <w:proofErr w:type="spellEnd"/>
      <w:r w:rsidRPr="000525E7">
        <w:rPr>
          <w:rFonts w:ascii="Helvetica" w:hAnsi="Helvetica" w:cs="Helvetica"/>
          <w:sz w:val="20"/>
          <w:szCs w:val="20"/>
          <w:lang w:val="en-US"/>
        </w:rPr>
        <w:t xml:space="preserve"> estimation, per-chromosome coverage computation, insert size limits, huge files support etc</w:t>
      </w:r>
      <w:r w:rsidR="001E25E1">
        <w:rPr>
          <w:rFonts w:ascii="Helvetica" w:hAnsi="Helvetica" w:cs="Helvetica"/>
          <w:sz w:val="20"/>
          <w:szCs w:val="20"/>
          <w:lang w:val="en-US"/>
        </w:rPr>
        <w:t>.</w:t>
      </w:r>
    </w:p>
    <w:p w:rsidR="000525E7" w:rsidRDefault="000525E7" w:rsidP="000525E7">
      <w:p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b/>
          <w:sz w:val="20"/>
          <w:szCs w:val="20"/>
          <w:lang w:val="en-US"/>
        </w:rPr>
        <w:t>Counts QC mode</w:t>
      </w:r>
    </w:p>
    <w:p w:rsidR="000525E7" w:rsidRPr="000525E7" w:rsidRDefault="000525E7" w:rsidP="000525E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Completely redesigned, added </w:t>
      </w:r>
      <w:r w:rsidRPr="001E3D2A">
        <w:rPr>
          <w:rFonts w:ascii="Helvetica" w:hAnsi="Helvetica" w:cs="Helvetica"/>
          <w:b/>
          <w:sz w:val="20"/>
          <w:szCs w:val="20"/>
          <w:lang w:val="en-US"/>
        </w:rPr>
        <w:t>support of multiple input</w:t>
      </w:r>
      <w:r>
        <w:rPr>
          <w:rFonts w:ascii="Helvetica" w:hAnsi="Helvetica" w:cs="Helvetica"/>
          <w:sz w:val="20"/>
          <w:szCs w:val="20"/>
          <w:lang w:val="en-US"/>
        </w:rPr>
        <w:t xml:space="preserve"> samples</w:t>
      </w:r>
    </w:p>
    <w:p w:rsidR="000525E7" w:rsidRPr="000525E7" w:rsidRDefault="000525E7" w:rsidP="000525E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For global </w:t>
      </w:r>
      <w:r w:rsidR="00241D73">
        <w:rPr>
          <w:rFonts w:ascii="Helvetica" w:hAnsi="Helvetica" w:cs="Helvetica"/>
          <w:sz w:val="20"/>
          <w:szCs w:val="20"/>
          <w:lang w:val="en-US"/>
        </w:rPr>
        <w:t>overview</w:t>
      </w:r>
      <w:r>
        <w:rPr>
          <w:rFonts w:ascii="Helvetica" w:hAnsi="Helvetica" w:cs="Helvetica"/>
          <w:sz w:val="20"/>
          <w:szCs w:val="20"/>
          <w:lang w:val="en-US"/>
        </w:rPr>
        <w:t xml:space="preserve"> the following plots are available</w:t>
      </w:r>
    </w:p>
    <w:p w:rsidR="000525E7" w:rsidRPr="00431B7C" w:rsidRDefault="00241D73" w:rsidP="000525E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Counts log density</w:t>
      </w:r>
    </w:p>
    <w:p w:rsidR="00241D73" w:rsidRPr="00431B7C" w:rsidRDefault="00241D73" w:rsidP="000525E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proofErr w:type="spellStart"/>
      <w:r w:rsidRPr="00431B7C">
        <w:rPr>
          <w:rFonts w:ascii="Helvetica" w:hAnsi="Helvetica" w:cs="Helvetica"/>
          <w:i/>
          <w:sz w:val="20"/>
          <w:szCs w:val="20"/>
          <w:lang w:val="en-US"/>
        </w:rPr>
        <w:t>Scatterplot</w:t>
      </w:r>
      <w:proofErr w:type="spellEnd"/>
      <w:r w:rsidRPr="00431B7C">
        <w:rPr>
          <w:rFonts w:ascii="Helvetica" w:hAnsi="Helvetica" w:cs="Helvetica"/>
          <w:i/>
          <w:sz w:val="20"/>
          <w:szCs w:val="20"/>
          <w:lang w:val="en-US"/>
        </w:rPr>
        <w:t xml:space="preserve"> matrix</w:t>
      </w:r>
    </w:p>
    <w:p w:rsidR="00241D73" w:rsidRPr="00431B7C" w:rsidRDefault="00241D73" w:rsidP="000525E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Sequencing saturation</w:t>
      </w:r>
    </w:p>
    <w:p w:rsidR="00241D73" w:rsidRPr="00431B7C" w:rsidRDefault="00241D73" w:rsidP="000525E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Counts distribution</w:t>
      </w:r>
    </w:p>
    <w:p w:rsidR="00241D73" w:rsidRPr="00241D73" w:rsidRDefault="00241D73" w:rsidP="000525E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Features with low counts</w:t>
      </w:r>
    </w:p>
    <w:p w:rsidR="00241D73" w:rsidRPr="00241D73" w:rsidRDefault="00241D73" w:rsidP="00241D73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Per-sample plots</w:t>
      </w:r>
    </w:p>
    <w:p w:rsidR="00241D73" w:rsidRPr="00431B7C" w:rsidRDefault="00241D73" w:rsidP="00241D73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Sequencing saturation</w:t>
      </w:r>
    </w:p>
    <w:p w:rsidR="00241D73" w:rsidRPr="00431B7C" w:rsidRDefault="00241D73" w:rsidP="00241D73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Biotype detection</w:t>
      </w:r>
    </w:p>
    <w:p w:rsidR="00241D73" w:rsidRPr="00431B7C" w:rsidRDefault="00241D73" w:rsidP="00241D73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Counts per biotype</w:t>
      </w:r>
    </w:p>
    <w:p w:rsidR="00241D73" w:rsidRPr="00431B7C" w:rsidRDefault="00241D73" w:rsidP="00241D73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Length bias</w:t>
      </w:r>
    </w:p>
    <w:p w:rsidR="00241D73" w:rsidRPr="00431B7C" w:rsidRDefault="00241D73" w:rsidP="00241D73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GC bias</w:t>
      </w:r>
    </w:p>
    <w:p w:rsidR="00241D73" w:rsidRPr="00241D73" w:rsidRDefault="00241D73" w:rsidP="00241D73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Comparison plots (comparing groups of sample</w:t>
      </w:r>
      <w:r w:rsidR="00B56BA6">
        <w:rPr>
          <w:rFonts w:ascii="Helvetica" w:hAnsi="Helvetica" w:cs="Helvetica"/>
          <w:sz w:val="20"/>
          <w:szCs w:val="20"/>
          <w:lang w:val="en-US"/>
        </w:rPr>
        <w:t>s</w:t>
      </w:r>
      <w:r>
        <w:rPr>
          <w:rFonts w:ascii="Helvetica" w:hAnsi="Helvetica" w:cs="Helvetica"/>
          <w:sz w:val="20"/>
          <w:szCs w:val="20"/>
          <w:lang w:val="en-US"/>
        </w:rPr>
        <w:t xml:space="preserve"> under various conditions)</w:t>
      </w:r>
    </w:p>
    <w:p w:rsidR="00241D73" w:rsidRPr="00431B7C" w:rsidRDefault="00241D73" w:rsidP="00241D73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Counts distribution</w:t>
      </w:r>
    </w:p>
    <w:p w:rsidR="00241D73" w:rsidRPr="00431B7C" w:rsidRDefault="00241D73" w:rsidP="00241D73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Features with low counts</w:t>
      </w:r>
    </w:p>
    <w:p w:rsidR="00241D73" w:rsidRPr="00431B7C" w:rsidRDefault="00241D73" w:rsidP="00241D73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Length bias</w:t>
      </w:r>
    </w:p>
    <w:p w:rsidR="00241D73" w:rsidRPr="00431B7C" w:rsidRDefault="00241D73" w:rsidP="00241D73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i/>
          <w:sz w:val="20"/>
          <w:szCs w:val="20"/>
          <w:lang w:val="en-US"/>
        </w:rPr>
      </w:pPr>
      <w:r w:rsidRPr="00431B7C">
        <w:rPr>
          <w:rFonts w:ascii="Helvetica" w:hAnsi="Helvetica" w:cs="Helvetica"/>
          <w:i/>
          <w:sz w:val="20"/>
          <w:szCs w:val="20"/>
          <w:lang w:val="en-US"/>
        </w:rPr>
        <w:t>GC bias</w:t>
      </w:r>
    </w:p>
    <w:p w:rsidR="00431B7C" w:rsidRPr="000525E7" w:rsidRDefault="00431B7C" w:rsidP="00431B7C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Improved command line interface</w:t>
      </w:r>
    </w:p>
    <w:p w:rsidR="000525E7" w:rsidRDefault="000525E7" w:rsidP="000525E7">
      <w:p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b/>
          <w:sz w:val="20"/>
          <w:szCs w:val="20"/>
          <w:lang w:val="en-US"/>
        </w:rPr>
        <w:t>New mode: RNA-seq QC</w:t>
      </w:r>
    </w:p>
    <w:p w:rsidR="00241D73" w:rsidRDefault="00241D73" w:rsidP="000525E7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Analysis of metrics specific to RNA-seq technology</w:t>
      </w:r>
    </w:p>
    <w:p w:rsidR="00241D73" w:rsidRDefault="00431B7C" w:rsidP="00241D73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Summary statistics: reads alignment, transcript coverage, junction sequence analysis</w:t>
      </w:r>
    </w:p>
    <w:p w:rsidR="00431B7C" w:rsidRDefault="00431B7C" w:rsidP="00241D73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lastRenderedPageBreak/>
        <w:t xml:space="preserve">Reads genomic origin: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exonic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intronic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or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intergenic</w:t>
      </w:r>
      <w:proofErr w:type="spellEnd"/>
    </w:p>
    <w:p w:rsidR="00431B7C" w:rsidRDefault="00431B7C" w:rsidP="00241D73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Transcript coverage (low, high, total)</w:t>
      </w:r>
    </w:p>
    <w:p w:rsidR="00431B7C" w:rsidRDefault="00431B7C" w:rsidP="00241D73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Transcript coverage histogram</w:t>
      </w:r>
    </w:p>
    <w:p w:rsidR="00431B7C" w:rsidRPr="00241D73" w:rsidRDefault="00431B7C" w:rsidP="00241D73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Junction analysis: known </w:t>
      </w:r>
      <w:proofErr w:type="spellStart"/>
      <w:r>
        <w:rPr>
          <w:rFonts w:ascii="Helvetica" w:hAnsi="Helvetica" w:cs="Helvetica"/>
          <w:sz w:val="20"/>
          <w:szCs w:val="20"/>
          <w:lang w:val="en-US"/>
        </w:rPr>
        <w:t>vs</w:t>
      </w:r>
      <w:proofErr w:type="spellEnd"/>
      <w:r>
        <w:rPr>
          <w:rFonts w:ascii="Helvetica" w:hAnsi="Helvetica" w:cs="Helvetica"/>
          <w:sz w:val="20"/>
          <w:szCs w:val="20"/>
          <w:lang w:val="en-US"/>
        </w:rPr>
        <w:t xml:space="preserve"> novel</w:t>
      </w:r>
    </w:p>
    <w:p w:rsidR="000525E7" w:rsidRDefault="000525E7" w:rsidP="000525E7">
      <w:pPr>
        <w:rPr>
          <w:rFonts w:ascii="Helvetica" w:hAnsi="Helvetica" w:cs="Helvetica"/>
          <w:b/>
          <w:sz w:val="20"/>
          <w:szCs w:val="20"/>
          <w:lang w:val="en-US"/>
        </w:rPr>
      </w:pPr>
      <w:r>
        <w:rPr>
          <w:rFonts w:ascii="Helvetica" w:hAnsi="Helvetica" w:cs="Helvetica"/>
          <w:b/>
          <w:sz w:val="20"/>
          <w:szCs w:val="20"/>
          <w:lang w:val="en-US"/>
        </w:rPr>
        <w:t>New mode: Multi-sample BAM QC</w:t>
      </w:r>
    </w:p>
    <w:p w:rsidR="00431B7C" w:rsidRDefault="00431B7C" w:rsidP="000525E7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Multi-sample comparison of BAM QC results</w:t>
      </w:r>
    </w:p>
    <w:p w:rsidR="00431B7C" w:rsidRDefault="00431B7C" w:rsidP="00431B7C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Plots available from BAM QC showing all input samples simultaneously: </w:t>
      </w:r>
      <w:r w:rsidRPr="00431B7C">
        <w:rPr>
          <w:rFonts w:ascii="Helvetica" w:hAnsi="Helvetica" w:cs="Helvetica"/>
          <w:i/>
          <w:sz w:val="20"/>
          <w:szCs w:val="20"/>
          <w:lang w:val="en-US"/>
        </w:rPr>
        <w:t xml:space="preserve">coverage across reference, coverage histogram, genome fraction coverage, duplication rate histogram, mapped reads </w:t>
      </w:r>
      <w:r w:rsidR="00001E36">
        <w:rPr>
          <w:rFonts w:ascii="Helvetica" w:hAnsi="Helvetica" w:cs="Helvetica"/>
          <w:i/>
          <w:sz w:val="20"/>
          <w:szCs w:val="20"/>
          <w:lang w:val="en-US"/>
        </w:rPr>
        <w:t>GC</w:t>
      </w:r>
      <w:r w:rsidRPr="00431B7C">
        <w:rPr>
          <w:rFonts w:ascii="Helvetica" w:hAnsi="Helvetica" w:cs="Helvetica"/>
          <w:i/>
          <w:sz w:val="20"/>
          <w:szCs w:val="20"/>
          <w:lang w:val="en-US"/>
        </w:rPr>
        <w:t>-content distribution, clipping profile, mapping quality and insert size histograms</w:t>
      </w:r>
      <w:r>
        <w:rPr>
          <w:rFonts w:ascii="Helvetica" w:hAnsi="Helvetica" w:cs="Helvetica"/>
          <w:sz w:val="20"/>
          <w:szCs w:val="20"/>
          <w:lang w:val="en-US"/>
        </w:rPr>
        <w:t xml:space="preserve">  </w:t>
      </w:r>
    </w:p>
    <w:p w:rsidR="00431B7C" w:rsidRDefault="00431B7C" w:rsidP="00431B7C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PCA of samples based on coverage, </w:t>
      </w:r>
      <w:r w:rsidR="00001E36">
        <w:rPr>
          <w:rFonts w:ascii="Helvetica" w:hAnsi="Helvetica" w:cs="Helvetica"/>
          <w:sz w:val="20"/>
          <w:szCs w:val="20"/>
          <w:lang w:val="en-US"/>
        </w:rPr>
        <w:t>GC</w:t>
      </w:r>
      <w:r>
        <w:rPr>
          <w:rFonts w:ascii="Helvetica" w:hAnsi="Helvetica" w:cs="Helvetica"/>
          <w:sz w:val="20"/>
          <w:szCs w:val="20"/>
          <w:lang w:val="en-US"/>
        </w:rPr>
        <w:t>-content, insert size and mapping quality</w:t>
      </w:r>
    </w:p>
    <w:p w:rsidR="00431B7C" w:rsidRPr="00431B7C" w:rsidRDefault="00431B7C" w:rsidP="00431B7C">
      <w:pPr>
        <w:rPr>
          <w:rFonts w:ascii="Helvetica" w:hAnsi="Helvetica" w:cs="Helvetica"/>
          <w:b/>
          <w:sz w:val="20"/>
          <w:szCs w:val="20"/>
          <w:lang w:val="en-US"/>
        </w:rPr>
      </w:pPr>
      <w:r w:rsidRPr="00431B7C">
        <w:rPr>
          <w:rFonts w:ascii="Helvetica" w:hAnsi="Helvetica" w:cs="Helvetica"/>
          <w:b/>
          <w:sz w:val="20"/>
          <w:szCs w:val="20"/>
          <w:lang w:val="en-US"/>
        </w:rPr>
        <w:t>Compute counts tool</w:t>
      </w:r>
    </w:p>
    <w:p w:rsidR="00431B7C" w:rsidRPr="00431B7C" w:rsidRDefault="00431B7C" w:rsidP="00431B7C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Added support for paired-end reads</w:t>
      </w:r>
    </w:p>
    <w:p w:rsidR="00431B7C" w:rsidRPr="00431B7C" w:rsidRDefault="00001E36" w:rsidP="00431B7C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A d</w:t>
      </w:r>
      <w:r w:rsidR="00431B7C">
        <w:rPr>
          <w:rFonts w:ascii="Helvetica" w:hAnsi="Helvetica" w:cs="Helvetica"/>
          <w:sz w:val="20"/>
          <w:szCs w:val="20"/>
          <w:lang w:val="en-US"/>
        </w:rPr>
        <w:t xml:space="preserve">etailed explanation of analysis types and interpretation of output results can be found in </w:t>
      </w:r>
      <w:r>
        <w:rPr>
          <w:rFonts w:ascii="Helvetica" w:hAnsi="Helvetica" w:cs="Helvetica"/>
          <w:sz w:val="20"/>
          <w:szCs w:val="20"/>
          <w:lang w:val="en-US"/>
        </w:rPr>
        <w:t xml:space="preserve">the </w:t>
      </w:r>
      <w:r w:rsidR="00431B7C">
        <w:rPr>
          <w:rFonts w:ascii="Helvetica" w:hAnsi="Helvetica" w:cs="Helvetica"/>
          <w:sz w:val="20"/>
          <w:szCs w:val="20"/>
          <w:lang w:val="en-US"/>
        </w:rPr>
        <w:t>Qualimap user manual.</w:t>
      </w:r>
    </w:p>
    <w:p w:rsidR="00455CF5" w:rsidRDefault="00455CF5">
      <w:pPr>
        <w:rPr>
          <w:rFonts w:ascii="Helvetica" w:hAnsi="Helvetica" w:cs="Helvetica"/>
          <w:b/>
          <w:sz w:val="24"/>
          <w:szCs w:val="24"/>
          <w:lang w:val="en-US"/>
        </w:rPr>
      </w:pPr>
      <w:r>
        <w:rPr>
          <w:rFonts w:ascii="Helvetica" w:hAnsi="Helvetica" w:cs="Helvetica"/>
          <w:b/>
          <w:sz w:val="24"/>
          <w:szCs w:val="24"/>
          <w:lang w:val="en-US"/>
        </w:rPr>
        <w:br w:type="page"/>
      </w:r>
    </w:p>
    <w:p w:rsidR="001E3D2A" w:rsidRDefault="001E3D2A" w:rsidP="007B7BD5">
      <w:pPr>
        <w:rPr>
          <w:rFonts w:ascii="Helvetica" w:hAnsi="Helvetica" w:cs="Helvetica"/>
          <w:b/>
          <w:sz w:val="24"/>
          <w:szCs w:val="24"/>
          <w:lang w:val="en-US"/>
        </w:rPr>
      </w:pPr>
      <w:r>
        <w:rPr>
          <w:rFonts w:ascii="Helvetica" w:hAnsi="Helvetica" w:cs="Helvetica"/>
          <w:b/>
          <w:sz w:val="24"/>
          <w:szCs w:val="24"/>
          <w:lang w:val="en-US"/>
        </w:rPr>
        <w:lastRenderedPageBreak/>
        <w:t>Supplementary Table 1</w:t>
      </w:r>
    </w:p>
    <w:p w:rsidR="001E3D2A" w:rsidRPr="00D50824" w:rsidRDefault="001E3D2A" w:rsidP="007B7BD5">
      <w:pPr>
        <w:rPr>
          <w:rFonts w:ascii="Helvetica" w:hAnsi="Helvetica" w:cs="Helvetica"/>
          <w:sz w:val="20"/>
          <w:szCs w:val="20"/>
          <w:lang w:val="en-US"/>
        </w:rPr>
      </w:pPr>
      <w:r w:rsidRPr="009129B4">
        <w:rPr>
          <w:rFonts w:ascii="Helvetica" w:hAnsi="Helvetica" w:cs="Helvetica"/>
          <w:sz w:val="20"/>
          <w:szCs w:val="20"/>
          <w:lang w:val="en-US"/>
        </w:rPr>
        <w:t>Comparison of existing</w:t>
      </w:r>
      <w:r w:rsidR="00AD1CF3" w:rsidRPr="009129B4">
        <w:rPr>
          <w:rFonts w:ascii="Helvetica" w:hAnsi="Helvetica" w:cs="Helvetica"/>
          <w:sz w:val="20"/>
          <w:szCs w:val="20"/>
          <w:lang w:val="en-US"/>
        </w:rPr>
        <w:t xml:space="preserve"> RNA-seq quality control</w:t>
      </w:r>
      <w:r w:rsidRPr="009129B4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="009664F2" w:rsidRPr="009129B4">
        <w:rPr>
          <w:rFonts w:ascii="Helvetica" w:hAnsi="Helvetica" w:cs="Helvetica"/>
          <w:sz w:val="20"/>
          <w:szCs w:val="20"/>
          <w:lang w:val="en-US"/>
        </w:rPr>
        <w:t xml:space="preserve">tools: </w:t>
      </w:r>
      <w:proofErr w:type="spellStart"/>
      <w:r w:rsidR="009664F2" w:rsidRPr="005C30B3">
        <w:rPr>
          <w:rFonts w:ascii="Helvetica" w:hAnsi="Helvetica" w:cs="Helvetica"/>
          <w:b/>
          <w:sz w:val="20"/>
          <w:szCs w:val="20"/>
          <w:lang w:val="en-US"/>
        </w:rPr>
        <w:t>RSeQC</w:t>
      </w:r>
      <w:proofErr w:type="spellEnd"/>
      <w:r w:rsidR="001D7411" w:rsidRPr="009129B4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="001D7411" w:rsidRPr="00857537">
        <w:rPr>
          <w:rFonts w:ascii="Helvetica" w:hAnsi="Helvetica" w:cs="Helvetica"/>
          <w:b/>
          <w:sz w:val="20"/>
          <w:szCs w:val="20"/>
          <w:lang w:val="en-US"/>
        </w:rPr>
        <w:t>v2.6</w:t>
      </w:r>
      <w:r w:rsidR="009664F2" w:rsidRPr="009129B4">
        <w:rPr>
          <w:rFonts w:ascii="Helvetica" w:hAnsi="Helvetica" w:cs="Helvetica"/>
          <w:sz w:val="20"/>
          <w:szCs w:val="20"/>
          <w:lang w:val="en-US"/>
        </w:rPr>
        <w:t xml:space="preserve">, </w:t>
      </w:r>
      <w:r w:rsidR="009664F2" w:rsidRPr="005C30B3">
        <w:rPr>
          <w:rFonts w:ascii="Helvetica" w:hAnsi="Helvetica" w:cs="Helvetica"/>
          <w:b/>
          <w:sz w:val="20"/>
          <w:szCs w:val="20"/>
          <w:lang w:val="en-US"/>
        </w:rPr>
        <w:t>RNA-</w:t>
      </w:r>
      <w:proofErr w:type="spellStart"/>
      <w:r w:rsidR="009664F2" w:rsidRPr="005C30B3">
        <w:rPr>
          <w:rFonts w:ascii="Helvetica" w:hAnsi="Helvetica" w:cs="Helvetica"/>
          <w:b/>
          <w:sz w:val="20"/>
          <w:szCs w:val="20"/>
          <w:lang w:val="en-US"/>
        </w:rPr>
        <w:t>SeQC</w:t>
      </w:r>
      <w:proofErr w:type="spellEnd"/>
      <w:r w:rsidR="001D7411" w:rsidRPr="009129B4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="001D7411" w:rsidRPr="00857537">
        <w:rPr>
          <w:rFonts w:ascii="Helvetica" w:hAnsi="Helvetica" w:cs="Helvetica"/>
          <w:b/>
          <w:sz w:val="20"/>
          <w:szCs w:val="20"/>
          <w:lang w:val="en-US"/>
        </w:rPr>
        <w:t>v1.1.8</w:t>
      </w:r>
      <w:r w:rsidR="009664F2" w:rsidRPr="009129B4">
        <w:rPr>
          <w:rFonts w:ascii="Helvetica" w:hAnsi="Helvetica" w:cs="Helvetica"/>
          <w:sz w:val="20"/>
          <w:szCs w:val="20"/>
          <w:lang w:val="en-US"/>
        </w:rPr>
        <w:t xml:space="preserve"> and </w:t>
      </w:r>
      <w:r w:rsidR="009664F2" w:rsidRPr="005C30B3">
        <w:rPr>
          <w:rFonts w:ascii="Helvetica" w:hAnsi="Helvetica" w:cs="Helvetica"/>
          <w:b/>
          <w:sz w:val="20"/>
          <w:szCs w:val="20"/>
          <w:lang w:val="en-US"/>
        </w:rPr>
        <w:t>Q</w:t>
      </w:r>
      <w:r w:rsidRPr="005C30B3">
        <w:rPr>
          <w:rFonts w:ascii="Helvetica" w:hAnsi="Helvetica" w:cs="Helvetica"/>
          <w:b/>
          <w:sz w:val="20"/>
          <w:szCs w:val="20"/>
          <w:lang w:val="en-US"/>
        </w:rPr>
        <w:t>ualimap</w:t>
      </w:r>
      <w:r w:rsidR="001D7411" w:rsidRPr="009129B4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="001D7411" w:rsidRPr="00857537">
        <w:rPr>
          <w:rFonts w:ascii="Helvetica" w:hAnsi="Helvetica" w:cs="Helvetica"/>
          <w:b/>
          <w:sz w:val="20"/>
          <w:szCs w:val="20"/>
          <w:lang w:val="en-US"/>
        </w:rPr>
        <w:t>v2.1</w:t>
      </w:r>
      <w:r w:rsidR="005C394C" w:rsidRPr="009129B4">
        <w:rPr>
          <w:rFonts w:ascii="Helvetica" w:hAnsi="Helvetica" w:cs="Helvetica"/>
          <w:sz w:val="20"/>
          <w:szCs w:val="20"/>
          <w:lang w:val="en-US"/>
        </w:rPr>
        <w:t>.</w:t>
      </w:r>
      <w:r w:rsidRPr="009129B4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="00581A65" w:rsidRPr="00D50824">
        <w:rPr>
          <w:rFonts w:ascii="Helvetica" w:hAnsi="Helvetica" w:cs="Helvetica"/>
          <w:i/>
          <w:sz w:val="20"/>
          <w:szCs w:val="20"/>
          <w:lang w:val="en-US"/>
        </w:rPr>
        <w:t xml:space="preserve">Note: </w:t>
      </w:r>
      <w:proofErr w:type="spellStart"/>
      <w:r w:rsidR="009129B4" w:rsidRPr="00D50824">
        <w:rPr>
          <w:rFonts w:ascii="Helvetica" w:hAnsi="Helvetica" w:cs="Helvetica"/>
          <w:i/>
          <w:sz w:val="20"/>
          <w:szCs w:val="20"/>
          <w:lang w:val="en-US"/>
        </w:rPr>
        <w:t>RSeQC</w:t>
      </w:r>
      <w:proofErr w:type="spellEnd"/>
      <w:r w:rsidR="009129B4" w:rsidRPr="00D50824">
        <w:rPr>
          <w:rFonts w:ascii="Helvetica" w:hAnsi="Helvetica" w:cs="Helvetica"/>
          <w:i/>
          <w:sz w:val="20"/>
          <w:szCs w:val="20"/>
          <w:lang w:val="en-US"/>
        </w:rPr>
        <w:t xml:space="preserve"> and Qualimap also support general</w:t>
      </w:r>
      <w:r w:rsidR="00581A65" w:rsidRPr="00D50824">
        <w:rPr>
          <w:rFonts w:ascii="Helvetica" w:hAnsi="Helvetica" w:cs="Helvetica"/>
          <w:i/>
          <w:sz w:val="20"/>
          <w:szCs w:val="20"/>
          <w:lang w:val="en-US"/>
        </w:rPr>
        <w:t xml:space="preserve"> sequencing data analysis</w:t>
      </w:r>
      <w:r w:rsidR="009129B4" w:rsidRPr="00D50824">
        <w:rPr>
          <w:rFonts w:ascii="Helvetica" w:hAnsi="Helvetica" w:cs="Helvetica"/>
          <w:i/>
          <w:sz w:val="20"/>
          <w:szCs w:val="20"/>
          <w:lang w:val="en-US"/>
        </w:rPr>
        <w:t xml:space="preserve"> methods (including GC-content, number of mismatches and </w:t>
      </w:r>
      <w:proofErr w:type="spellStart"/>
      <w:r w:rsidR="009129B4" w:rsidRPr="00D50824">
        <w:rPr>
          <w:rFonts w:ascii="Helvetica" w:hAnsi="Helvetica" w:cs="Helvetica"/>
          <w:i/>
          <w:sz w:val="20"/>
          <w:szCs w:val="20"/>
          <w:lang w:val="en-US"/>
        </w:rPr>
        <w:t>indels</w:t>
      </w:r>
      <w:proofErr w:type="spellEnd"/>
      <w:r w:rsidR="009129B4" w:rsidRPr="00D50824">
        <w:rPr>
          <w:rFonts w:ascii="Helvetica" w:hAnsi="Helvetica" w:cs="Helvetica"/>
          <w:i/>
          <w:sz w:val="20"/>
          <w:szCs w:val="20"/>
          <w:lang w:val="en-US"/>
        </w:rPr>
        <w:t xml:space="preserve">, insert size, mapping quality etc.). However, in this table these </w:t>
      </w:r>
      <w:r w:rsidR="005C30B3">
        <w:rPr>
          <w:rFonts w:ascii="Helvetica" w:hAnsi="Helvetica" w:cs="Helvetica"/>
          <w:i/>
          <w:sz w:val="20"/>
          <w:szCs w:val="20"/>
          <w:lang w:val="en-US"/>
        </w:rPr>
        <w:t>elements</w:t>
      </w:r>
      <w:r w:rsidR="009129B4" w:rsidRPr="00D50824">
        <w:rPr>
          <w:rFonts w:ascii="Helvetica" w:hAnsi="Helvetica" w:cs="Helvetica"/>
          <w:i/>
          <w:sz w:val="20"/>
          <w:szCs w:val="20"/>
          <w:lang w:val="en-US"/>
        </w:rPr>
        <w:t xml:space="preserve"> </w:t>
      </w:r>
      <w:r w:rsidR="00581A65" w:rsidRPr="00D50824">
        <w:rPr>
          <w:rFonts w:ascii="Helvetica" w:hAnsi="Helvetica" w:cs="Helvetica"/>
          <w:i/>
          <w:sz w:val="20"/>
          <w:szCs w:val="20"/>
          <w:lang w:val="en-US"/>
        </w:rPr>
        <w:t>are not included</w:t>
      </w:r>
      <w:r w:rsidR="009129B4" w:rsidRPr="00D50824">
        <w:rPr>
          <w:rFonts w:ascii="Helvetica" w:hAnsi="Helvetica" w:cs="Helvetica"/>
          <w:i/>
          <w:sz w:val="20"/>
          <w:szCs w:val="20"/>
          <w:lang w:val="en-US"/>
        </w:rPr>
        <w:t>, since it is focused on RNA-sequencing data analysis</w:t>
      </w:r>
      <w:r w:rsidR="00581A65" w:rsidRPr="00D50824">
        <w:rPr>
          <w:rFonts w:ascii="Helvetica" w:hAnsi="Helvetica" w:cs="Helvetica"/>
          <w:i/>
          <w:sz w:val="20"/>
          <w:szCs w:val="20"/>
          <w:lang w:val="en-US"/>
        </w:rPr>
        <w:t>.</w:t>
      </w:r>
      <w:r w:rsidR="00576B33">
        <w:rPr>
          <w:rFonts w:ascii="Helvetica" w:hAnsi="Helvetica" w:cs="Helvetica"/>
          <w:i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668"/>
        <w:gridCol w:w="2409"/>
        <w:gridCol w:w="2552"/>
        <w:gridCol w:w="2613"/>
      </w:tblGrid>
      <w:tr w:rsidR="001E3D2A" w:rsidTr="00CA7C87">
        <w:trPr>
          <w:trHeight w:val="501"/>
        </w:trPr>
        <w:tc>
          <w:tcPr>
            <w:tcW w:w="1668" w:type="dxa"/>
            <w:vAlign w:val="center"/>
          </w:tcPr>
          <w:p w:rsidR="001E3D2A" w:rsidRPr="00CB3AE6" w:rsidRDefault="00937DD7" w:rsidP="00545B4E">
            <w:pPr>
              <w:jc w:val="center"/>
              <w:rPr>
                <w:rFonts w:ascii="Helvetica" w:hAnsi="Helvetica" w:cs="Helvetica"/>
                <w:b/>
                <w:sz w:val="20"/>
                <w:szCs w:val="20"/>
                <w:lang w:val="en-US"/>
              </w:rPr>
            </w:pPr>
            <w:r w:rsidRPr="00CB3AE6">
              <w:rPr>
                <w:rFonts w:ascii="Helvetica" w:hAnsi="Helvetica" w:cs="Helvetica"/>
                <w:b/>
                <w:sz w:val="20"/>
                <w:szCs w:val="20"/>
                <w:lang w:val="en-US"/>
              </w:rPr>
              <w:t>Features and options</w:t>
            </w:r>
          </w:p>
        </w:tc>
        <w:tc>
          <w:tcPr>
            <w:tcW w:w="2409" w:type="dxa"/>
            <w:vAlign w:val="center"/>
          </w:tcPr>
          <w:p w:rsidR="001E3D2A" w:rsidRPr="001D7411" w:rsidRDefault="001E3D2A" w:rsidP="00545B4E">
            <w:pPr>
              <w:jc w:val="center"/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proofErr w:type="spellStart"/>
            <w:r w:rsidRPr="001D7411"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RSeQC</w:t>
            </w:r>
            <w:proofErr w:type="spellEnd"/>
          </w:p>
        </w:tc>
        <w:tc>
          <w:tcPr>
            <w:tcW w:w="2552" w:type="dxa"/>
            <w:vAlign w:val="center"/>
          </w:tcPr>
          <w:p w:rsidR="001E3D2A" w:rsidRPr="001D7411" w:rsidRDefault="001E3D2A" w:rsidP="00545B4E">
            <w:pPr>
              <w:jc w:val="center"/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 w:rsidRPr="001D7411"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RNA</w:t>
            </w:r>
            <w:r w:rsidR="009664F2" w:rsidRPr="001D7411"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-</w:t>
            </w:r>
            <w:proofErr w:type="spellStart"/>
            <w:r w:rsidR="009664F2" w:rsidRPr="001D7411"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SeQ</w:t>
            </w:r>
            <w:r w:rsidRPr="001D7411"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2613" w:type="dxa"/>
            <w:vAlign w:val="center"/>
          </w:tcPr>
          <w:p w:rsidR="001E3D2A" w:rsidRPr="001D7411" w:rsidRDefault="001E3D2A" w:rsidP="00545B4E">
            <w:pPr>
              <w:jc w:val="center"/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 w:rsidRPr="001D7411"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Qualimap 2</w:t>
            </w:r>
          </w:p>
        </w:tc>
      </w:tr>
      <w:tr w:rsidR="001E3D2A" w:rsidRPr="00507EFD" w:rsidTr="00CA7C87">
        <w:trPr>
          <w:trHeight w:val="788"/>
        </w:trPr>
        <w:tc>
          <w:tcPr>
            <w:tcW w:w="1668" w:type="dxa"/>
            <w:vAlign w:val="center"/>
          </w:tcPr>
          <w:p w:rsidR="001E3D2A" w:rsidRPr="0047730A" w:rsidRDefault="001E3D2A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General approach</w:t>
            </w:r>
          </w:p>
        </w:tc>
        <w:tc>
          <w:tcPr>
            <w:tcW w:w="2409" w:type="dxa"/>
            <w:vAlign w:val="center"/>
          </w:tcPr>
          <w:p w:rsidR="001E3D2A" w:rsidRPr="001D7411" w:rsidRDefault="00596DD3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Command line execution only (Python scripts)</w:t>
            </w:r>
          </w:p>
        </w:tc>
        <w:tc>
          <w:tcPr>
            <w:tcW w:w="2552" w:type="dxa"/>
            <w:vAlign w:val="center"/>
          </w:tcPr>
          <w:p w:rsidR="001E3D2A" w:rsidRPr="001D7411" w:rsidRDefault="00596DD3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Execution either online via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GenePattern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or on command line</w:t>
            </w:r>
          </w:p>
        </w:tc>
        <w:tc>
          <w:tcPr>
            <w:tcW w:w="2613" w:type="dxa"/>
            <w:vAlign w:val="center"/>
          </w:tcPr>
          <w:p w:rsidR="001E3D2A" w:rsidRPr="001D7411" w:rsidRDefault="00FE266D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>Launching possible from command line or GUI.</w:t>
            </w:r>
          </w:p>
        </w:tc>
      </w:tr>
      <w:tr w:rsidR="001E3D2A" w:rsidRPr="00507EFD" w:rsidTr="00CA7C87">
        <w:trPr>
          <w:trHeight w:val="828"/>
        </w:trPr>
        <w:tc>
          <w:tcPr>
            <w:tcW w:w="1668" w:type="dxa"/>
            <w:vAlign w:val="center"/>
          </w:tcPr>
          <w:p w:rsidR="00593AFA" w:rsidRPr="0047730A" w:rsidRDefault="00593AFA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Aligned reads</w:t>
            </w:r>
          </w:p>
          <w:p w:rsidR="001E3D2A" w:rsidRPr="0047730A" w:rsidRDefault="00FE266D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statistics</w:t>
            </w:r>
          </w:p>
        </w:tc>
        <w:tc>
          <w:tcPr>
            <w:tcW w:w="2409" w:type="dxa"/>
            <w:vAlign w:val="center"/>
          </w:tcPr>
          <w:p w:rsidR="00581A65" w:rsidRPr="00581A65" w:rsidRDefault="007D2DA1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N</w:t>
            </w:r>
            <w:r w:rsidR="00581A65">
              <w:rPr>
                <w:rFonts w:ascii="Helvetica" w:hAnsi="Helvetica" w:cs="Helvetica"/>
                <w:sz w:val="16"/>
                <w:szCs w:val="16"/>
                <w:lang w:val="en-US"/>
              </w:rPr>
              <w:t>on-splice reads</w:t>
            </w:r>
            <w:r w:rsidR="00576B33">
              <w:rPr>
                <w:rFonts w:ascii="Helvetica" w:hAnsi="Helvetica" w:cs="Helvetica"/>
                <w:sz w:val="16"/>
                <w:szCs w:val="16"/>
                <w:lang w:val="en-US"/>
              </w:rPr>
              <w:t>.</w:t>
            </w:r>
          </w:p>
        </w:tc>
        <w:tc>
          <w:tcPr>
            <w:tcW w:w="2552" w:type="dxa"/>
            <w:vAlign w:val="center"/>
          </w:tcPr>
          <w:p w:rsidR="005C394C" w:rsidRDefault="005C394C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Total, unique, </w:t>
            </w:r>
            <w:r w:rsidR="00576B33"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duplicate </w:t>
            </w:r>
            <w:r w:rsidR="00576B33">
              <w:rPr>
                <w:rFonts w:ascii="Helvetica" w:hAnsi="Helvetica" w:cs="Helvetica"/>
                <w:sz w:val="16"/>
                <w:szCs w:val="16"/>
                <w:lang w:val="en-US"/>
              </w:rPr>
              <w:t>and</w:t>
            </w: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a</w:t>
            </w:r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>lternative alignment</w:t>
            </w: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s.</w:t>
            </w:r>
          </w:p>
          <w:p w:rsidR="001E3D2A" w:rsidRPr="001D7411" w:rsidRDefault="005C394C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>Vendor Failed Reads</w:t>
            </w: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.</w:t>
            </w:r>
          </w:p>
        </w:tc>
        <w:tc>
          <w:tcPr>
            <w:tcW w:w="2613" w:type="dxa"/>
            <w:vAlign w:val="center"/>
          </w:tcPr>
          <w:p w:rsidR="006B6A7C" w:rsidRPr="006B6A7C" w:rsidRDefault="00576B33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T</w:t>
            </w:r>
            <w:r w:rsidR="00243C63">
              <w:rPr>
                <w:rFonts w:ascii="Helvetica" w:hAnsi="Helvetica" w:cs="Helvetica"/>
                <w:sz w:val="16"/>
                <w:szCs w:val="16"/>
                <w:lang w:val="en-US"/>
              </w:rPr>
              <w:t>otal, secondary</w:t>
            </w:r>
            <w:r w:rsidR="00B54D2B">
              <w:rPr>
                <w:rFonts w:ascii="Helvetica" w:hAnsi="Helvetica" w:cs="Helvetica"/>
                <w:sz w:val="16"/>
                <w:szCs w:val="16"/>
                <w:lang w:val="en-US"/>
              </w:rPr>
              <w:t>,</w:t>
            </w:r>
            <w:r w:rsidR="00243C63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aligned to genes,</w:t>
            </w:r>
            <w:r w:rsidR="00B54D2B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non-unique</w:t>
            </w:r>
            <w:r w:rsidR="00A472E9">
              <w:rPr>
                <w:rFonts w:ascii="Helvetica" w:hAnsi="Helvetica" w:cs="Helvetica"/>
                <w:sz w:val="16"/>
                <w:szCs w:val="16"/>
                <w:lang w:val="en-US"/>
              </w:rPr>
              <w:t>, no-feature</w:t>
            </w:r>
            <w:r w:rsidR="00B54D2B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</w:t>
            </w:r>
            <w:r w:rsidR="00A472E9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and </w:t>
            </w:r>
            <w:r w:rsidR="00B54D2B">
              <w:rPr>
                <w:rFonts w:ascii="Helvetica" w:hAnsi="Helvetica" w:cs="Helvetica"/>
                <w:sz w:val="16"/>
                <w:szCs w:val="16"/>
                <w:lang w:val="en-US"/>
              </w:rPr>
              <w:t>ambig</w:t>
            </w:r>
            <w:r w:rsidR="00CB3AE6">
              <w:rPr>
                <w:rFonts w:ascii="Helvetica" w:hAnsi="Helvetica" w:cs="Helvetica"/>
                <w:sz w:val="16"/>
                <w:szCs w:val="16"/>
                <w:lang w:val="en-US"/>
              </w:rPr>
              <w:t>u</w:t>
            </w:r>
            <w:r w:rsidR="00B54D2B">
              <w:rPr>
                <w:rFonts w:ascii="Helvetica" w:hAnsi="Helvetica" w:cs="Helvetica"/>
                <w:sz w:val="16"/>
                <w:szCs w:val="16"/>
                <w:lang w:val="en-US"/>
              </w:rPr>
              <w:t>ous</w:t>
            </w:r>
            <w:r w:rsidR="00A472E9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alignments</w:t>
            </w:r>
            <w:r w:rsidR="00243C63">
              <w:rPr>
                <w:rFonts w:ascii="Helvetica" w:hAnsi="Helvetica" w:cs="Helvetica"/>
                <w:sz w:val="16"/>
                <w:szCs w:val="16"/>
                <w:lang w:val="en-US"/>
              </w:rPr>
              <w:t>.</w:t>
            </w:r>
          </w:p>
        </w:tc>
      </w:tr>
      <w:tr w:rsidR="00576B33" w:rsidRPr="00576B33" w:rsidTr="00CA7C87">
        <w:trPr>
          <w:trHeight w:val="814"/>
        </w:trPr>
        <w:tc>
          <w:tcPr>
            <w:tcW w:w="1668" w:type="dxa"/>
            <w:vAlign w:val="center"/>
          </w:tcPr>
          <w:p w:rsidR="00576B33" w:rsidRPr="0047730A" w:rsidRDefault="00576B33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Read pairs statistics</w:t>
            </w:r>
          </w:p>
        </w:tc>
        <w:tc>
          <w:tcPr>
            <w:tcW w:w="2409" w:type="dxa"/>
            <w:vAlign w:val="center"/>
          </w:tcPr>
          <w:p w:rsidR="00576B33" w:rsidRDefault="007D2DA1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P</w:t>
            </w:r>
            <w:r w:rsidR="00576B33">
              <w:rPr>
                <w:rFonts w:ascii="Helvetica" w:hAnsi="Helvetica" w:cs="Helvetica"/>
                <w:sz w:val="16"/>
                <w:szCs w:val="16"/>
                <w:lang w:val="en-US"/>
              </w:rPr>
              <w:t>airs</w:t>
            </w: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aligned, left/right</w:t>
            </w:r>
          </w:p>
        </w:tc>
        <w:tc>
          <w:tcPr>
            <w:tcW w:w="2552" w:type="dxa"/>
            <w:vAlign w:val="center"/>
          </w:tcPr>
          <w:p w:rsidR="00576B33" w:rsidRPr="001D7411" w:rsidRDefault="00576B33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Pairs</w:t>
            </w:r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aligned, unpaired reads, base mismatch rate for each pair mate, </w:t>
            </w:r>
            <w:proofErr w:type="spellStart"/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>chimeric</w:t>
            </w:r>
            <w:proofErr w:type="spellEnd"/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pairs</w:t>
            </w:r>
          </w:p>
        </w:tc>
        <w:tc>
          <w:tcPr>
            <w:tcW w:w="2613" w:type="dxa"/>
            <w:vAlign w:val="center"/>
          </w:tcPr>
          <w:p w:rsidR="00576B33" w:rsidRDefault="007D2DA1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P</w:t>
            </w:r>
            <w:r w:rsidR="00576B33">
              <w:rPr>
                <w:rFonts w:ascii="Helvetica" w:hAnsi="Helvetica" w:cs="Helvetica"/>
                <w:sz w:val="16"/>
                <w:szCs w:val="16"/>
                <w:lang w:val="en-US"/>
              </w:rPr>
              <w:t>airs aligned, left/right</w:t>
            </w:r>
          </w:p>
        </w:tc>
      </w:tr>
      <w:tr w:rsidR="00BC6CDC" w:rsidRPr="00B30FE0" w:rsidTr="00CA7C87">
        <w:trPr>
          <w:trHeight w:val="808"/>
        </w:trPr>
        <w:tc>
          <w:tcPr>
            <w:tcW w:w="1668" w:type="dxa"/>
            <w:vAlign w:val="center"/>
          </w:tcPr>
          <w:p w:rsidR="00BC6CDC" w:rsidRPr="0047730A" w:rsidRDefault="00BC6CDC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Strand-</w:t>
            </w:r>
            <w:proofErr w:type="spellStart"/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specificty</w:t>
            </w:r>
            <w:proofErr w:type="spellEnd"/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 xml:space="preserve"> detection</w:t>
            </w:r>
          </w:p>
        </w:tc>
        <w:tc>
          <w:tcPr>
            <w:tcW w:w="2409" w:type="dxa"/>
            <w:vAlign w:val="center"/>
          </w:tcPr>
          <w:p w:rsidR="00BC6CDC" w:rsidRPr="00BC6CDC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Available</w:t>
            </w:r>
          </w:p>
        </w:tc>
        <w:tc>
          <w:tcPr>
            <w:tcW w:w="2552" w:type="dxa"/>
            <w:vAlign w:val="center"/>
          </w:tcPr>
          <w:p w:rsidR="00BC6CDC" w:rsidRPr="001D7411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Available</w:t>
            </w:r>
          </w:p>
        </w:tc>
        <w:tc>
          <w:tcPr>
            <w:tcW w:w="2613" w:type="dxa"/>
            <w:vAlign w:val="center"/>
          </w:tcPr>
          <w:p w:rsidR="00BC6CDC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Available</w:t>
            </w:r>
          </w:p>
        </w:tc>
      </w:tr>
      <w:tr w:rsidR="001E3D2A" w:rsidRPr="002C4A28" w:rsidTr="00CA7C87">
        <w:trPr>
          <w:trHeight w:val="818"/>
        </w:trPr>
        <w:tc>
          <w:tcPr>
            <w:tcW w:w="1668" w:type="dxa"/>
            <w:vAlign w:val="center"/>
          </w:tcPr>
          <w:p w:rsidR="001E3D2A" w:rsidRPr="0047730A" w:rsidRDefault="005C394C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Alignments location</w:t>
            </w:r>
            <w:r w:rsidR="00581A65"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 xml:space="preserve"> </w:t>
            </w:r>
            <w:r w:rsidR="001E25E1"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analysis</w:t>
            </w:r>
          </w:p>
        </w:tc>
        <w:tc>
          <w:tcPr>
            <w:tcW w:w="2409" w:type="dxa"/>
            <w:vAlign w:val="center"/>
          </w:tcPr>
          <w:p w:rsidR="005C394C" w:rsidRDefault="00576B33" w:rsidP="0047730A">
            <w:pPr>
              <w:jc w:val="center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N</w:t>
            </w:r>
            <w:r w:rsidR="005C394C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umber of alignments in </w:t>
            </w:r>
            <w:proofErr w:type="spellStart"/>
            <w:r w:rsidR="005C394C">
              <w:rPr>
                <w:rFonts w:ascii="Helvetica" w:hAnsi="Helvetica" w:cs="Helvetica"/>
                <w:sz w:val="16"/>
                <w:szCs w:val="16"/>
                <w:lang w:val="en-US"/>
              </w:rPr>
              <w:t>exons</w:t>
            </w:r>
            <w:proofErr w:type="spellEnd"/>
            <w:r w:rsidR="005C394C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(5’UTR, 3’UTR, CDS), </w:t>
            </w:r>
            <w:proofErr w:type="spellStart"/>
            <w:r w:rsidR="005C394C">
              <w:rPr>
                <w:rFonts w:ascii="Helvetica" w:hAnsi="Helvetica" w:cs="Helvetica"/>
                <w:sz w:val="16"/>
                <w:szCs w:val="16"/>
                <w:lang w:val="en-US"/>
              </w:rPr>
              <w:t>introns</w:t>
            </w:r>
            <w:proofErr w:type="spellEnd"/>
            <w:r w:rsidR="005C394C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and TSS.</w:t>
            </w:r>
          </w:p>
        </w:tc>
        <w:tc>
          <w:tcPr>
            <w:tcW w:w="2552" w:type="dxa"/>
            <w:vAlign w:val="center"/>
          </w:tcPr>
          <w:p w:rsidR="001E3D2A" w:rsidRPr="005C394C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E</w:t>
            </w:r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>xonic</w:t>
            </w:r>
            <w:proofErr w:type="spellEnd"/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>intronic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,</w:t>
            </w:r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C394C"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>intragenic</w:t>
            </w:r>
            <w:proofErr w:type="spellEnd"/>
            <w:r w:rsidR="005C394C"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C394C"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>intergenic</w:t>
            </w:r>
            <w:proofErr w:type="spellEnd"/>
            <w:r w:rsidR="005C394C">
              <w:rPr>
                <w:rFonts w:ascii="Helvetica" w:hAnsi="Helvetica" w:cs="Helvetica"/>
                <w:sz w:val="16"/>
                <w:szCs w:val="16"/>
                <w:lang w:val="en-US"/>
              </w:rPr>
              <w:t>.</w:t>
            </w:r>
          </w:p>
        </w:tc>
        <w:tc>
          <w:tcPr>
            <w:tcW w:w="2613" w:type="dxa"/>
            <w:vAlign w:val="center"/>
          </w:tcPr>
          <w:p w:rsidR="00581A65" w:rsidRPr="005C394C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E</w:t>
            </w:r>
            <w:r w:rsidR="007818B7">
              <w:rPr>
                <w:rFonts w:ascii="Helvetica" w:hAnsi="Helvetica" w:cs="Helvetica"/>
                <w:sz w:val="16"/>
                <w:szCs w:val="16"/>
                <w:lang w:val="en-US"/>
              </w:rPr>
              <w:t>xonic</w:t>
            </w:r>
            <w:proofErr w:type="spellEnd"/>
            <w:r w:rsidR="007818B7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7818B7">
              <w:rPr>
                <w:rFonts w:ascii="Helvetica" w:hAnsi="Helvetica" w:cs="Helvetica"/>
                <w:sz w:val="16"/>
                <w:szCs w:val="16"/>
                <w:lang w:val="en-US"/>
              </w:rPr>
              <w:t>intronic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,</w:t>
            </w:r>
            <w:r w:rsidR="007818B7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818B7">
              <w:rPr>
                <w:rFonts w:ascii="Helvetica" w:hAnsi="Helvetica" w:cs="Helvetica"/>
                <w:sz w:val="16"/>
                <w:szCs w:val="16"/>
                <w:lang w:val="en-US"/>
              </w:rPr>
              <w:t>intergenic</w:t>
            </w:r>
            <w:proofErr w:type="spellEnd"/>
          </w:p>
        </w:tc>
      </w:tr>
      <w:tr w:rsidR="007818B7" w:rsidRPr="002C4A28" w:rsidTr="00CA7C87">
        <w:trPr>
          <w:trHeight w:val="709"/>
        </w:trPr>
        <w:tc>
          <w:tcPr>
            <w:tcW w:w="1668" w:type="dxa"/>
            <w:vAlign w:val="center"/>
          </w:tcPr>
          <w:p w:rsidR="007818B7" w:rsidRPr="0047730A" w:rsidRDefault="007D2DA1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Gene c</w:t>
            </w:r>
            <w:r w:rsidR="007818B7"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overage analysis</w:t>
            </w:r>
          </w:p>
        </w:tc>
        <w:tc>
          <w:tcPr>
            <w:tcW w:w="2409" w:type="dxa"/>
            <w:vAlign w:val="center"/>
          </w:tcPr>
          <w:p w:rsidR="003D45B1" w:rsidRPr="005C394C" w:rsidRDefault="003D0EF3" w:rsidP="00545B4E">
            <w:pPr>
              <w:jc w:val="center"/>
              <w:rPr>
                <w:rFonts w:ascii="Helvetica" w:hAnsi="Helvetica" w:cs="Helvetica"/>
                <w:i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Gene</w:t>
            </w:r>
            <w:r w:rsidR="003D45B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coverage over gene body</w:t>
            </w: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plot</w:t>
            </w:r>
          </w:p>
        </w:tc>
        <w:tc>
          <w:tcPr>
            <w:tcW w:w="2552" w:type="dxa"/>
            <w:vAlign w:val="center"/>
          </w:tcPr>
          <w:p w:rsidR="007818B7" w:rsidRPr="007818B7" w:rsidRDefault="007818B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 w:rsidRPr="007818B7">
              <w:rPr>
                <w:rFonts w:ascii="Helvetica" w:hAnsi="Helvetica" w:cs="Helvetica"/>
                <w:sz w:val="16"/>
                <w:szCs w:val="16"/>
                <w:lang w:val="en-US"/>
              </w:rPr>
              <w:t>Coverage gaps: count, length</w:t>
            </w:r>
          </w:p>
          <w:p w:rsidR="007818B7" w:rsidRPr="001D7411" w:rsidRDefault="007818B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Coverage p</w:t>
            </w:r>
            <w:r w:rsidRPr="007818B7">
              <w:rPr>
                <w:rFonts w:ascii="Helvetica" w:hAnsi="Helvetica" w:cs="Helvetica"/>
                <w:sz w:val="16"/>
                <w:szCs w:val="16"/>
                <w:lang w:val="en-US"/>
              </w:rPr>
              <w:t>lots</w:t>
            </w:r>
          </w:p>
        </w:tc>
        <w:tc>
          <w:tcPr>
            <w:tcW w:w="2613" w:type="dxa"/>
            <w:vAlign w:val="center"/>
          </w:tcPr>
          <w:p w:rsidR="009D69D3" w:rsidRDefault="007818B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Coverage profile along genes (total, low, high), </w:t>
            </w:r>
          </w:p>
          <w:p w:rsidR="00B54D2B" w:rsidRPr="005C394C" w:rsidRDefault="007818B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coverage</w:t>
            </w:r>
            <w:proofErr w:type="gramEnd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histogram</w:t>
            </w:r>
            <w:r w:rsidR="007D2DA1">
              <w:rPr>
                <w:rFonts w:ascii="Helvetica" w:hAnsi="Helvetica" w:cs="Helvetica"/>
                <w:sz w:val="16"/>
                <w:szCs w:val="16"/>
                <w:lang w:val="en-US"/>
              </w:rPr>
              <w:t>.</w:t>
            </w:r>
          </w:p>
        </w:tc>
      </w:tr>
      <w:tr w:rsidR="00A92187" w:rsidRPr="002C4A28" w:rsidTr="00CA7C87">
        <w:trPr>
          <w:trHeight w:val="553"/>
        </w:trPr>
        <w:tc>
          <w:tcPr>
            <w:tcW w:w="1668" w:type="dxa"/>
            <w:vAlign w:val="center"/>
          </w:tcPr>
          <w:p w:rsidR="00A472E9" w:rsidRPr="0047730A" w:rsidRDefault="00A92187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5’</w:t>
            </w:r>
            <w:r w:rsidR="00A472E9"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 xml:space="preserve">- </w:t>
            </w: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3’ bias</w:t>
            </w:r>
          </w:p>
          <w:p w:rsidR="00A92187" w:rsidRPr="0047730A" w:rsidRDefault="00A92187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analysis</w:t>
            </w:r>
          </w:p>
        </w:tc>
        <w:tc>
          <w:tcPr>
            <w:tcW w:w="2409" w:type="dxa"/>
            <w:vAlign w:val="center"/>
          </w:tcPr>
          <w:p w:rsidR="00A92187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A92187" w:rsidRPr="007818B7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Available</w:t>
            </w:r>
          </w:p>
        </w:tc>
        <w:tc>
          <w:tcPr>
            <w:tcW w:w="2613" w:type="dxa"/>
            <w:vAlign w:val="center"/>
          </w:tcPr>
          <w:p w:rsidR="00A92187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Available</w:t>
            </w:r>
          </w:p>
        </w:tc>
      </w:tr>
      <w:tr w:rsidR="00A92187" w:rsidRPr="002C4A28" w:rsidTr="00CA7C87">
        <w:trPr>
          <w:trHeight w:val="561"/>
        </w:trPr>
        <w:tc>
          <w:tcPr>
            <w:tcW w:w="1668" w:type="dxa"/>
            <w:vAlign w:val="center"/>
          </w:tcPr>
          <w:p w:rsidR="00A472E9" w:rsidRPr="0047730A" w:rsidRDefault="00A92187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GC content</w:t>
            </w:r>
          </w:p>
          <w:p w:rsidR="00A92187" w:rsidRPr="0047730A" w:rsidRDefault="00A92187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analysis</w:t>
            </w:r>
          </w:p>
        </w:tc>
        <w:tc>
          <w:tcPr>
            <w:tcW w:w="2409" w:type="dxa"/>
            <w:vAlign w:val="center"/>
          </w:tcPr>
          <w:p w:rsidR="00A92187" w:rsidRDefault="00A472E9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Available</w:t>
            </w:r>
          </w:p>
        </w:tc>
        <w:tc>
          <w:tcPr>
            <w:tcW w:w="2552" w:type="dxa"/>
            <w:vAlign w:val="center"/>
          </w:tcPr>
          <w:p w:rsidR="00A92187" w:rsidRDefault="00A472E9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Available</w:t>
            </w:r>
          </w:p>
        </w:tc>
        <w:tc>
          <w:tcPr>
            <w:tcW w:w="2613" w:type="dxa"/>
            <w:vAlign w:val="center"/>
          </w:tcPr>
          <w:p w:rsidR="00A92187" w:rsidRDefault="00A472E9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Available</w:t>
            </w:r>
          </w:p>
        </w:tc>
      </w:tr>
      <w:tr w:rsidR="00DB57C5" w:rsidRPr="002C4A28" w:rsidTr="00CA7C87">
        <w:trPr>
          <w:trHeight w:val="870"/>
        </w:trPr>
        <w:tc>
          <w:tcPr>
            <w:tcW w:w="1668" w:type="dxa"/>
            <w:vAlign w:val="center"/>
          </w:tcPr>
          <w:p w:rsidR="00DB57C5" w:rsidRPr="0047730A" w:rsidRDefault="00DB57C5" w:rsidP="00545B4E">
            <w:pPr>
              <w:jc w:val="center"/>
              <w:rPr>
                <w:rFonts w:ascii="Helvetica" w:hAnsi="Helvetica" w:cs="Helvetica"/>
                <w:b/>
                <w:sz w:val="18"/>
                <w:szCs w:val="24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Gene expression</w:t>
            </w:r>
            <w:r w:rsidR="00B54D2B"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 xml:space="preserve"> </w:t>
            </w:r>
            <w:r w:rsidR="00112FB3"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computation</w:t>
            </w:r>
          </w:p>
        </w:tc>
        <w:tc>
          <w:tcPr>
            <w:tcW w:w="2409" w:type="dxa"/>
            <w:vAlign w:val="center"/>
          </w:tcPr>
          <w:p w:rsidR="006B6A7C" w:rsidRPr="00B54D2B" w:rsidRDefault="00112FB3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Available</w:t>
            </w:r>
            <w:r w:rsidR="006B6A7C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(RPKM)</w:t>
            </w:r>
          </w:p>
        </w:tc>
        <w:tc>
          <w:tcPr>
            <w:tcW w:w="2552" w:type="dxa"/>
            <w:vAlign w:val="center"/>
          </w:tcPr>
          <w:p w:rsidR="009D69D3" w:rsidRDefault="00112FB3" w:rsidP="009D69D3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Available </w:t>
            </w:r>
          </w:p>
          <w:p w:rsidR="00DB57C5" w:rsidRPr="00857537" w:rsidRDefault="00937DD7" w:rsidP="009D69D3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(</w:t>
            </w:r>
            <w:r w:rsidR="007D2DA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read counts, </w:t>
            </w: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RPKM)</w:t>
            </w:r>
          </w:p>
        </w:tc>
        <w:tc>
          <w:tcPr>
            <w:tcW w:w="2613" w:type="dxa"/>
            <w:vAlign w:val="center"/>
          </w:tcPr>
          <w:p w:rsidR="009D69D3" w:rsidRDefault="00112FB3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Available</w:t>
            </w:r>
            <w:r w:rsidR="00937DD7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</w:t>
            </w:r>
          </w:p>
          <w:p w:rsidR="00937DD7" w:rsidRPr="00B54D2B" w:rsidRDefault="00937DD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(read counts, RPKM)</w:t>
            </w:r>
          </w:p>
        </w:tc>
      </w:tr>
      <w:tr w:rsidR="00A92187" w:rsidRPr="002C4A28" w:rsidTr="00CA7C87">
        <w:trPr>
          <w:trHeight w:val="1116"/>
        </w:trPr>
        <w:tc>
          <w:tcPr>
            <w:tcW w:w="1668" w:type="dxa"/>
            <w:vAlign w:val="center"/>
          </w:tcPr>
          <w:p w:rsidR="00A92187" w:rsidRPr="0047730A" w:rsidRDefault="00A92187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Expression profiling</w:t>
            </w:r>
          </w:p>
        </w:tc>
        <w:tc>
          <w:tcPr>
            <w:tcW w:w="2409" w:type="dxa"/>
            <w:vAlign w:val="center"/>
          </w:tcPr>
          <w:p w:rsidR="00A92187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A92187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E</w:t>
            </w:r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fficiency (ratio of </w:t>
            </w:r>
            <w:proofErr w:type="spellStart"/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>exon</w:t>
            </w:r>
            <w:proofErr w:type="spellEnd"/>
            <w:r w:rsidRPr="001D7411">
              <w:rPr>
                <w:rFonts w:ascii="Helvetica" w:hAnsi="Helvetica" w:cs="Helvetica"/>
                <w:sz w:val="16"/>
                <w:szCs w:val="16"/>
                <w:lang w:val="en-US"/>
              </w:rPr>
              <w:t>-derived reads to total reads sequenced)</w:t>
            </w:r>
          </w:p>
          <w:p w:rsidR="00A92187" w:rsidRPr="001D7411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rRNA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reads</w:t>
            </w:r>
          </w:p>
          <w:p w:rsidR="00A92187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</w:p>
        </w:tc>
        <w:tc>
          <w:tcPr>
            <w:tcW w:w="2613" w:type="dxa"/>
            <w:vAlign w:val="center"/>
          </w:tcPr>
          <w:p w:rsidR="00A92187" w:rsidRDefault="00A92187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Detailed percentage of expressed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exon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type (protein-coding,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pseudogene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lincRNA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rRNA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, etc)</w:t>
            </w:r>
          </w:p>
          <w:p w:rsidR="007D2DA1" w:rsidRDefault="00593AFA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L</w:t>
            </w:r>
            <w:r w:rsidR="007D2DA1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ow counts </w:t>
            </w:r>
            <w:r w:rsidR="00112FB3">
              <w:rPr>
                <w:rFonts w:ascii="Helvetica" w:hAnsi="Helvetica" w:cs="Helvetica"/>
                <w:sz w:val="16"/>
                <w:szCs w:val="16"/>
                <w:lang w:val="en-US"/>
              </w:rPr>
              <w:t>detection</w:t>
            </w:r>
          </w:p>
        </w:tc>
      </w:tr>
      <w:tr w:rsidR="00B30FE0" w:rsidRPr="00507EFD" w:rsidTr="00CA7C87">
        <w:trPr>
          <w:trHeight w:val="1982"/>
        </w:trPr>
        <w:tc>
          <w:tcPr>
            <w:tcW w:w="1668" w:type="dxa"/>
            <w:vAlign w:val="center"/>
          </w:tcPr>
          <w:p w:rsidR="00B30FE0" w:rsidRPr="0047730A" w:rsidRDefault="00B30FE0" w:rsidP="00545B4E">
            <w:pPr>
              <w:jc w:val="center"/>
              <w:rPr>
                <w:rFonts w:ascii="Helvetica" w:hAnsi="Helvetica" w:cs="Helvetica"/>
                <w:b/>
                <w:sz w:val="18"/>
                <w:szCs w:val="20"/>
                <w:lang w:val="en-US"/>
              </w:rPr>
            </w:pPr>
            <w:proofErr w:type="spellStart"/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>Multisample</w:t>
            </w:r>
            <w:proofErr w:type="spellEnd"/>
            <w:r w:rsidRPr="0047730A">
              <w:rPr>
                <w:rFonts w:ascii="Helvetica" w:hAnsi="Helvetica" w:cs="Helvetica"/>
                <w:b/>
                <w:sz w:val="18"/>
                <w:szCs w:val="20"/>
                <w:lang w:val="en-US"/>
              </w:rPr>
              <w:t xml:space="preserve"> analysis and comparison</w:t>
            </w:r>
          </w:p>
        </w:tc>
        <w:tc>
          <w:tcPr>
            <w:tcW w:w="2409" w:type="dxa"/>
            <w:vAlign w:val="center"/>
          </w:tcPr>
          <w:p w:rsidR="00B30FE0" w:rsidRPr="001D7411" w:rsidRDefault="00063A22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C</w:t>
            </w:r>
            <w:r w:rsidR="00B30FE0">
              <w:rPr>
                <w:rFonts w:ascii="Helvetica" w:hAnsi="Helvetica" w:cs="Helvetica"/>
                <w:sz w:val="16"/>
                <w:szCs w:val="16"/>
                <w:lang w:val="en-US"/>
              </w:rPr>
              <w:t>ompute</w:t>
            </w: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s</w:t>
            </w:r>
            <w:r w:rsidR="00B30FE0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coverage of several samples together</w:t>
            </w:r>
          </w:p>
        </w:tc>
        <w:tc>
          <w:tcPr>
            <w:tcW w:w="2552" w:type="dxa"/>
            <w:vAlign w:val="center"/>
          </w:tcPr>
          <w:p w:rsidR="00545B4E" w:rsidRDefault="00545B4E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</w:p>
          <w:p w:rsidR="007E1C02" w:rsidRDefault="007E1C02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sz w:val="16"/>
                <w:szCs w:val="16"/>
                <w:lang w:val="en-US"/>
              </w:rPr>
              <w:t>Reports correlation between each sample pair</w:t>
            </w:r>
          </w:p>
          <w:p w:rsidR="00B30FE0" w:rsidRPr="001D7411" w:rsidRDefault="00B30FE0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</w:p>
        </w:tc>
        <w:tc>
          <w:tcPr>
            <w:tcW w:w="2613" w:type="dxa"/>
            <w:vAlign w:val="center"/>
          </w:tcPr>
          <w:p w:rsidR="00545B4E" w:rsidRPr="00545B4E" w:rsidRDefault="00063A22" w:rsidP="00545B4E">
            <w:pPr>
              <w:jc w:val="center"/>
              <w:rPr>
                <w:rFonts w:ascii="Helvetica" w:hAnsi="Helvetica" w:cs="Helvetica"/>
                <w:i/>
                <w:sz w:val="16"/>
                <w:szCs w:val="16"/>
                <w:u w:val="single"/>
                <w:lang w:val="en-US"/>
              </w:rPr>
            </w:pPr>
            <w:r w:rsidRPr="00545B4E">
              <w:rPr>
                <w:rFonts w:ascii="Helvetica" w:hAnsi="Helvetica" w:cs="Helvetica"/>
                <w:i/>
                <w:sz w:val="16"/>
                <w:szCs w:val="16"/>
                <w:u w:val="single"/>
                <w:lang w:val="en-US"/>
              </w:rPr>
              <w:t>In g</w:t>
            </w:r>
            <w:r w:rsidR="00243C63" w:rsidRPr="00545B4E">
              <w:rPr>
                <w:rFonts w:ascii="Helvetica" w:hAnsi="Helvetica" w:cs="Helvetica"/>
                <w:i/>
                <w:sz w:val="16"/>
                <w:szCs w:val="16"/>
                <w:u w:val="single"/>
                <w:lang w:val="en-US"/>
              </w:rPr>
              <w:t>lobal mode:</w:t>
            </w:r>
          </w:p>
          <w:p w:rsidR="00545B4E" w:rsidRPr="00545B4E" w:rsidRDefault="00243C63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proofErr w:type="gramStart"/>
            <w:r w:rsidRPr="00545B4E">
              <w:rPr>
                <w:rFonts w:ascii="Helvetica" w:hAnsi="Helvetica" w:cs="Helvetica"/>
                <w:sz w:val="16"/>
                <w:szCs w:val="16"/>
                <w:lang w:val="en-US"/>
              </w:rPr>
              <w:t>counts</w:t>
            </w:r>
            <w:proofErr w:type="gramEnd"/>
            <w:r w:rsidRPr="00545B4E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(coverage) density, </w:t>
            </w:r>
            <w:proofErr w:type="spellStart"/>
            <w:r w:rsidRPr="00545B4E">
              <w:rPr>
                <w:rFonts w:ascii="Helvetica" w:hAnsi="Helvetica" w:cs="Helvetica"/>
                <w:sz w:val="16"/>
                <w:szCs w:val="16"/>
                <w:lang w:val="en-US"/>
              </w:rPr>
              <w:t>scatterplot</w:t>
            </w:r>
            <w:proofErr w:type="spellEnd"/>
            <w:r w:rsidRPr="00545B4E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matrix, saturation, counts distribution.</w:t>
            </w:r>
          </w:p>
          <w:p w:rsidR="00243C63" w:rsidRPr="00545B4E" w:rsidRDefault="00063A22" w:rsidP="00545B4E">
            <w:pPr>
              <w:jc w:val="center"/>
              <w:rPr>
                <w:rFonts w:ascii="Helvetica" w:hAnsi="Helvetica" w:cs="Helvetica"/>
                <w:i/>
                <w:sz w:val="16"/>
                <w:szCs w:val="16"/>
                <w:u w:val="single"/>
                <w:lang w:val="en-US"/>
              </w:rPr>
            </w:pPr>
            <w:r w:rsidRPr="00545B4E">
              <w:rPr>
                <w:rFonts w:ascii="Helvetica" w:hAnsi="Helvetica" w:cs="Helvetica"/>
                <w:i/>
                <w:sz w:val="16"/>
                <w:szCs w:val="16"/>
                <w:u w:val="single"/>
                <w:lang w:val="en-US"/>
              </w:rPr>
              <w:t>In comparison mode</w:t>
            </w:r>
            <w:r w:rsidR="00545B4E" w:rsidRPr="00545B4E">
              <w:rPr>
                <w:rFonts w:ascii="Helvetica" w:hAnsi="Helvetica" w:cs="Helvetica"/>
                <w:i/>
                <w:sz w:val="16"/>
                <w:szCs w:val="16"/>
                <w:u w:val="single"/>
                <w:lang w:val="en-US"/>
              </w:rPr>
              <w:t>:</w:t>
            </w:r>
          </w:p>
          <w:p w:rsidR="00B30FE0" w:rsidRPr="00545B4E" w:rsidRDefault="00243C63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 w:rsidRPr="00545B4E">
              <w:rPr>
                <w:rFonts w:ascii="Helvetica" w:hAnsi="Helvetica" w:cs="Helvetica"/>
                <w:sz w:val="16"/>
                <w:szCs w:val="16"/>
                <w:lang w:val="en-US"/>
              </w:rPr>
              <w:t>between</w:t>
            </w:r>
            <w:r w:rsidR="00545B4E" w:rsidRPr="00545B4E">
              <w:rPr>
                <w:rFonts w:ascii="Helvetica" w:hAnsi="Helvetica" w:cs="Helvetica"/>
                <w:sz w:val="16"/>
                <w:szCs w:val="16"/>
                <w:lang w:val="en-US"/>
              </w:rPr>
              <w:t>-</w:t>
            </w:r>
            <w:r w:rsidRPr="00545B4E">
              <w:rPr>
                <w:rFonts w:ascii="Helvetica" w:hAnsi="Helvetica" w:cs="Helvetica"/>
                <w:sz w:val="16"/>
                <w:szCs w:val="16"/>
                <w:lang w:val="en-US"/>
              </w:rPr>
              <w:t>sample counts distribution, low counts</w:t>
            </w:r>
            <w:r w:rsidRPr="006B7DB3">
              <w:rPr>
                <w:rFonts w:ascii="Helvetica" w:hAnsi="Helvetica" w:cs="Helvetica"/>
                <w:sz w:val="16"/>
                <w:szCs w:val="16"/>
                <w:lang w:val="en-US"/>
              </w:rPr>
              <w:t>, bio</w:t>
            </w:r>
            <w:r w:rsidR="00507EFD" w:rsidRPr="006B7DB3">
              <w:rPr>
                <w:rFonts w:ascii="Helvetica" w:hAnsi="Helvetica" w:cs="Helvetica"/>
                <w:sz w:val="16"/>
                <w:szCs w:val="16"/>
                <w:lang w:val="en-US"/>
              </w:rPr>
              <w:t>type</w:t>
            </w:r>
            <w:r w:rsidRPr="006B7DB3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</w:t>
            </w:r>
            <w:r w:rsidR="00507EFD" w:rsidRPr="006B7DB3">
              <w:rPr>
                <w:rFonts w:ascii="Helvetica" w:hAnsi="Helvetica" w:cs="Helvetica"/>
                <w:sz w:val="16"/>
                <w:szCs w:val="16"/>
                <w:lang w:val="en-US"/>
              </w:rPr>
              <w:t>analysis ,</w:t>
            </w:r>
            <w:r w:rsidRPr="006B7DB3">
              <w:rPr>
                <w:rFonts w:ascii="Helvetica" w:hAnsi="Helvetica" w:cs="Helvetica"/>
                <w:sz w:val="16"/>
                <w:szCs w:val="16"/>
                <w:lang w:val="en-US"/>
              </w:rPr>
              <w:t xml:space="preserve"> length bias, GC bias</w:t>
            </w:r>
          </w:p>
          <w:p w:rsidR="00B30FE0" w:rsidRPr="001D7411" w:rsidRDefault="00B30FE0" w:rsidP="00545B4E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</w:p>
        </w:tc>
      </w:tr>
    </w:tbl>
    <w:p w:rsidR="001E3D2A" w:rsidRPr="001E3D2A" w:rsidRDefault="001E3D2A" w:rsidP="007B7BD5">
      <w:pPr>
        <w:rPr>
          <w:rFonts w:ascii="Helvetica" w:hAnsi="Helvetica" w:cs="Helvetica"/>
          <w:sz w:val="24"/>
          <w:szCs w:val="24"/>
          <w:lang w:val="en-US"/>
        </w:rPr>
      </w:pPr>
    </w:p>
    <w:p w:rsidR="001E3D2A" w:rsidRDefault="001E3D2A" w:rsidP="007B7BD5">
      <w:pPr>
        <w:rPr>
          <w:rFonts w:ascii="Helvetica" w:hAnsi="Helvetica" w:cs="Helvetica"/>
          <w:b/>
          <w:sz w:val="24"/>
          <w:szCs w:val="24"/>
          <w:lang w:val="en-US"/>
        </w:rPr>
      </w:pPr>
    </w:p>
    <w:p w:rsidR="007D2DA1" w:rsidRDefault="007D2DA1" w:rsidP="007B7BD5">
      <w:pPr>
        <w:rPr>
          <w:rFonts w:ascii="Helvetica" w:hAnsi="Helvetica" w:cs="Helvetica"/>
          <w:b/>
          <w:sz w:val="24"/>
          <w:szCs w:val="24"/>
          <w:lang w:val="en-US"/>
        </w:rPr>
      </w:pPr>
    </w:p>
    <w:p w:rsidR="00F77F1A" w:rsidRPr="00EB4D79" w:rsidRDefault="00D50824" w:rsidP="007B7BD5">
      <w:pPr>
        <w:rPr>
          <w:rFonts w:ascii="Helvetica" w:hAnsi="Helvetica" w:cs="Helvetica"/>
          <w:b/>
          <w:sz w:val="24"/>
          <w:szCs w:val="24"/>
          <w:lang w:val="en-US"/>
        </w:rPr>
      </w:pPr>
      <w:r>
        <w:rPr>
          <w:rFonts w:ascii="Helvetica" w:hAnsi="Helvetica" w:cs="Helvetica"/>
          <w:b/>
          <w:sz w:val="24"/>
          <w:szCs w:val="24"/>
          <w:lang w:val="en-US"/>
        </w:rPr>
        <w:lastRenderedPageBreak/>
        <w:t>S</w:t>
      </w:r>
      <w:r w:rsidR="00F77F1A" w:rsidRPr="00EB4D79">
        <w:rPr>
          <w:rFonts w:ascii="Helvetica" w:hAnsi="Helvetica" w:cs="Helvetica"/>
          <w:b/>
          <w:sz w:val="24"/>
          <w:szCs w:val="24"/>
          <w:lang w:val="en-US"/>
        </w:rPr>
        <w:t>upplementary Figures</w:t>
      </w:r>
    </w:p>
    <w:p w:rsidR="007B7BD5" w:rsidRDefault="00F77F1A" w:rsidP="00401296">
      <w:pPr>
        <w:pStyle w:val="Articletitle"/>
        <w:jc w:val="both"/>
        <w:rPr>
          <w:rFonts w:cs="Helvetica"/>
          <w:b w:val="0"/>
          <w:sz w:val="20"/>
        </w:rPr>
      </w:pPr>
      <w:r w:rsidRPr="00403AFC">
        <w:rPr>
          <w:rFonts w:cs="Helvetica"/>
          <w:b w:val="0"/>
          <w:sz w:val="20"/>
        </w:rPr>
        <w:t xml:space="preserve">Supplementary </w:t>
      </w:r>
      <w:r w:rsidR="00EB4D79">
        <w:rPr>
          <w:rFonts w:cs="Helvetica"/>
          <w:b w:val="0"/>
          <w:sz w:val="20"/>
        </w:rPr>
        <w:t>Figs.</w:t>
      </w:r>
      <w:r w:rsidR="007D2DA1">
        <w:rPr>
          <w:rFonts w:cs="Helvetica"/>
          <w:b w:val="0"/>
          <w:sz w:val="20"/>
        </w:rPr>
        <w:t xml:space="preserve"> 1-5</w:t>
      </w:r>
      <w:r w:rsidRPr="00403AFC">
        <w:rPr>
          <w:rFonts w:cs="Helvetica"/>
          <w:b w:val="0"/>
          <w:sz w:val="20"/>
        </w:rPr>
        <w:t xml:space="preserve"> </w:t>
      </w:r>
      <w:r w:rsidR="00403AFC" w:rsidRPr="00403AFC">
        <w:rPr>
          <w:rFonts w:cs="Helvetica"/>
          <w:b w:val="0"/>
          <w:sz w:val="20"/>
        </w:rPr>
        <w:t>were</w:t>
      </w:r>
      <w:r w:rsidRPr="00403AFC">
        <w:rPr>
          <w:rFonts w:cs="Helvetica"/>
          <w:b w:val="0"/>
          <w:sz w:val="20"/>
        </w:rPr>
        <w:t xml:space="preserve"> </w:t>
      </w:r>
      <w:r w:rsidR="00403AFC">
        <w:rPr>
          <w:rFonts w:cs="Helvetica"/>
          <w:b w:val="0"/>
          <w:sz w:val="20"/>
        </w:rPr>
        <w:t>created by</w:t>
      </w:r>
      <w:r w:rsidRPr="00403AFC">
        <w:rPr>
          <w:rFonts w:cs="Helvetica"/>
          <w:b w:val="0"/>
          <w:sz w:val="20"/>
        </w:rPr>
        <w:t xml:space="preserve"> Qualimap 2.0 in </w:t>
      </w:r>
      <w:r w:rsidRPr="00403AFC">
        <w:rPr>
          <w:rFonts w:cs="Helvetica"/>
          <w:sz w:val="20"/>
        </w:rPr>
        <w:t>Counts QC</w:t>
      </w:r>
      <w:r w:rsidRPr="00403AFC">
        <w:rPr>
          <w:rFonts w:cs="Helvetica"/>
          <w:b w:val="0"/>
          <w:sz w:val="20"/>
        </w:rPr>
        <w:t xml:space="preserve"> analysis mode. The input data</w:t>
      </w:r>
      <w:r w:rsidR="007B7BD5">
        <w:rPr>
          <w:rFonts w:cs="Helvetica"/>
          <w:b w:val="0"/>
          <w:sz w:val="20"/>
        </w:rPr>
        <w:t>set was</w:t>
      </w:r>
      <w:r w:rsidRPr="00403AFC">
        <w:rPr>
          <w:rFonts w:cs="Helvetica"/>
          <w:b w:val="0"/>
          <w:sz w:val="20"/>
        </w:rPr>
        <w:t xml:space="preserve"> taken from a study by Weimer et al</w:t>
      </w:r>
      <w:r w:rsidR="00EB4D79">
        <w:rPr>
          <w:rFonts w:cs="Helvetica"/>
          <w:b w:val="0"/>
          <w:sz w:val="20"/>
        </w:rPr>
        <w:t xml:space="preserve"> (2014)</w:t>
      </w:r>
      <w:r w:rsidR="007B7BD5">
        <w:rPr>
          <w:rFonts w:cs="Helvetica"/>
          <w:b w:val="0"/>
          <w:sz w:val="20"/>
        </w:rPr>
        <w:t>; it</w:t>
      </w:r>
      <w:r w:rsidR="00403AFC">
        <w:rPr>
          <w:rFonts w:cs="Helvetica"/>
          <w:b w:val="0"/>
          <w:sz w:val="20"/>
        </w:rPr>
        <w:t xml:space="preserve"> consisted of 6 samples of</w:t>
      </w:r>
      <w:r w:rsidR="007B7BD5">
        <w:rPr>
          <w:rFonts w:cs="Helvetica"/>
          <w:b w:val="0"/>
          <w:sz w:val="20"/>
        </w:rPr>
        <w:t xml:space="preserve"> mouse</w:t>
      </w:r>
      <w:r w:rsidR="00403AFC">
        <w:rPr>
          <w:rFonts w:cs="Helvetica"/>
          <w:b w:val="0"/>
          <w:sz w:val="20"/>
        </w:rPr>
        <w:t xml:space="preserve"> RNA-seq counts in 2 conditions: </w:t>
      </w:r>
      <w:r w:rsidRPr="00403AFC">
        <w:rPr>
          <w:rFonts w:cs="Helvetica"/>
          <w:b w:val="0"/>
          <w:sz w:val="20"/>
        </w:rPr>
        <w:t>D-Glucosamine</w:t>
      </w:r>
      <w:r w:rsidR="00403AFC">
        <w:rPr>
          <w:rFonts w:cs="Helvetica"/>
          <w:b w:val="0"/>
          <w:sz w:val="20"/>
        </w:rPr>
        <w:t xml:space="preserve"> (</w:t>
      </w:r>
      <w:proofErr w:type="spellStart"/>
      <w:r w:rsidR="00403AFC">
        <w:rPr>
          <w:rFonts w:cs="Helvetica"/>
          <w:b w:val="0"/>
          <w:sz w:val="20"/>
        </w:rPr>
        <w:t>GlcN</w:t>
      </w:r>
      <w:proofErr w:type="spellEnd"/>
      <w:r w:rsidR="007B7BD5">
        <w:rPr>
          <w:rFonts w:cs="Helvetica"/>
          <w:b w:val="0"/>
          <w:sz w:val="20"/>
        </w:rPr>
        <w:t>)</w:t>
      </w:r>
      <w:r w:rsidRPr="00403AFC">
        <w:rPr>
          <w:rFonts w:cs="Helvetica"/>
          <w:b w:val="0"/>
          <w:sz w:val="20"/>
        </w:rPr>
        <w:t xml:space="preserve"> </w:t>
      </w:r>
      <w:r w:rsidR="00403AFC" w:rsidRPr="00403AFC">
        <w:rPr>
          <w:rFonts w:cs="Helvetica"/>
          <w:b w:val="0"/>
          <w:sz w:val="20"/>
        </w:rPr>
        <w:t>positive and negative</w:t>
      </w:r>
      <w:r w:rsidRPr="00403AFC">
        <w:rPr>
          <w:rFonts w:cs="Helvetica"/>
          <w:b w:val="0"/>
          <w:sz w:val="20"/>
        </w:rPr>
        <w:t>.</w:t>
      </w:r>
      <w:r w:rsidR="00403AFC">
        <w:rPr>
          <w:rFonts w:cs="Helvetica"/>
          <w:b w:val="0"/>
          <w:sz w:val="20"/>
        </w:rPr>
        <w:t xml:space="preserve"> Each condition was presented by 3 </w:t>
      </w:r>
      <w:r w:rsidR="007B7BD5">
        <w:rPr>
          <w:rFonts w:cs="Helvetica"/>
          <w:b w:val="0"/>
          <w:sz w:val="20"/>
        </w:rPr>
        <w:t>biological replicates</w:t>
      </w:r>
      <w:r w:rsidR="00403AFC">
        <w:rPr>
          <w:rFonts w:cs="Helvetica"/>
          <w:b w:val="0"/>
          <w:sz w:val="20"/>
        </w:rPr>
        <w:t>.</w:t>
      </w:r>
      <w:r w:rsidR="003041C0">
        <w:rPr>
          <w:rFonts w:cs="Helvetica"/>
          <w:b w:val="0"/>
          <w:sz w:val="20"/>
        </w:rPr>
        <w:t xml:space="preserve"> </w:t>
      </w:r>
    </w:p>
    <w:p w:rsidR="00EB4D79" w:rsidRDefault="00EB4D79" w:rsidP="00401296">
      <w:pPr>
        <w:pStyle w:val="Articletitle"/>
        <w:jc w:val="both"/>
        <w:rPr>
          <w:rFonts w:cs="Helvetica"/>
          <w:sz w:val="20"/>
        </w:rPr>
      </w:pPr>
    </w:p>
    <w:p w:rsidR="00403AFC" w:rsidRPr="00EB4D79" w:rsidRDefault="00EB4D79" w:rsidP="00F77F1A">
      <w:pPr>
        <w:pStyle w:val="Articletitle"/>
        <w:rPr>
          <w:rFonts w:cs="Helvetica"/>
          <w:sz w:val="20"/>
        </w:rPr>
      </w:pPr>
      <w:r w:rsidRPr="00EB4D79">
        <w:rPr>
          <w:rFonts w:cs="Helvetica"/>
          <w:sz w:val="20"/>
        </w:rPr>
        <w:t>References</w:t>
      </w:r>
    </w:p>
    <w:p w:rsidR="00EB4D79" w:rsidRDefault="00EB4D79" w:rsidP="00401296">
      <w:pPr>
        <w:pStyle w:val="Articletitle"/>
        <w:jc w:val="both"/>
        <w:rPr>
          <w:rFonts w:cs="Helvetica"/>
          <w:b w:val="0"/>
          <w:sz w:val="20"/>
        </w:rPr>
      </w:pPr>
      <w:proofErr w:type="spellStart"/>
      <w:r w:rsidRPr="00EB4D79">
        <w:rPr>
          <w:rFonts w:cs="Helvetica"/>
          <w:b w:val="0"/>
          <w:sz w:val="20"/>
        </w:rPr>
        <w:t>Weimer</w:t>
      </w:r>
      <w:proofErr w:type="gramStart"/>
      <w:r w:rsidRPr="00EB4D79">
        <w:rPr>
          <w:rFonts w:cs="Helvetica"/>
          <w:b w:val="0"/>
          <w:sz w:val="20"/>
        </w:rPr>
        <w:t>,S</w:t>
      </w:r>
      <w:proofErr w:type="spellEnd"/>
      <w:proofErr w:type="gramEnd"/>
      <w:r w:rsidRPr="00EB4D79">
        <w:rPr>
          <w:rFonts w:cs="Helvetica"/>
          <w:b w:val="0"/>
          <w:sz w:val="20"/>
        </w:rPr>
        <w:t xml:space="preserve">. et al. (2014) D-Glucosamine supplementation extends life span of nematodes and of ageing mice. </w:t>
      </w:r>
      <w:r w:rsidRPr="00EB4D79">
        <w:rPr>
          <w:rFonts w:cs="Helvetica"/>
          <w:b w:val="0"/>
          <w:i/>
          <w:sz w:val="20"/>
        </w:rPr>
        <w:t xml:space="preserve">Nat. </w:t>
      </w:r>
      <w:proofErr w:type="spellStart"/>
      <w:r w:rsidRPr="00EB4D79">
        <w:rPr>
          <w:rFonts w:cs="Helvetica"/>
          <w:b w:val="0"/>
          <w:i/>
          <w:sz w:val="20"/>
        </w:rPr>
        <w:t>Commun</w:t>
      </w:r>
      <w:proofErr w:type="spellEnd"/>
      <w:r>
        <w:rPr>
          <w:rFonts w:cs="Helvetica"/>
          <w:b w:val="0"/>
          <w:sz w:val="20"/>
        </w:rPr>
        <w:t xml:space="preserve">., </w:t>
      </w:r>
      <w:r w:rsidRPr="00EB4D79">
        <w:rPr>
          <w:rFonts w:cs="Helvetica"/>
          <w:sz w:val="20"/>
        </w:rPr>
        <w:t>5</w:t>
      </w:r>
      <w:r>
        <w:rPr>
          <w:rFonts w:cs="Helvetica"/>
          <w:b w:val="0"/>
          <w:sz w:val="20"/>
        </w:rPr>
        <w:t xml:space="preserve">, </w:t>
      </w:r>
      <w:r w:rsidRPr="00EB4D79">
        <w:rPr>
          <w:rFonts w:cs="Helvetica"/>
          <w:b w:val="0"/>
          <w:sz w:val="20"/>
        </w:rPr>
        <w:t xml:space="preserve">3563. </w:t>
      </w:r>
    </w:p>
    <w:p w:rsidR="00403AFC" w:rsidRDefault="00E5145E">
      <w:pPr>
        <w:rPr>
          <w:rFonts w:ascii="Helvetica" w:eastAsia="Times New Roman" w:hAnsi="Helvetica" w:cs="Helvetica"/>
          <w:sz w:val="20"/>
          <w:szCs w:val="20"/>
          <w:lang w:val="en-US"/>
        </w:rPr>
      </w:pPr>
      <w:r w:rsidRPr="00E5145E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85pt;margin-top:443.1pt;width:451.8pt;height:.05pt;z-index:251661312" stroked="f">
            <v:textbox style="mso-fit-shape-to-text:t" inset="0,0,0,0">
              <w:txbxContent>
                <w:p w:rsidR="009D69D3" w:rsidRPr="00C5076B" w:rsidRDefault="009D69D3" w:rsidP="00401296">
                  <w:pPr>
                    <w:pStyle w:val="Caption"/>
                    <w:jc w:val="both"/>
                    <w:rPr>
                      <w:rFonts w:cs="Helvetica"/>
                      <w:noProof/>
                      <w:color w:val="auto"/>
                      <w:sz w:val="28"/>
                      <w:szCs w:val="28"/>
                      <w:lang w:val="en-US"/>
                    </w:rPr>
                  </w:pPr>
                  <w:proofErr w:type="gramStart"/>
                  <w:r w:rsidRPr="00A54DC1">
                    <w:rPr>
                      <w:color w:val="auto"/>
                      <w:sz w:val="28"/>
                      <w:szCs w:val="28"/>
                      <w:lang w:val="en-US"/>
                    </w:rPr>
                    <w:t>Supplementary Fig</w:t>
                  </w:r>
                  <w:r>
                    <w:rPr>
                      <w:color w:val="auto"/>
                      <w:sz w:val="28"/>
                      <w:szCs w:val="28"/>
                      <w:lang w:val="en-US"/>
                    </w:rPr>
                    <w:t>.</w:t>
                  </w:r>
                  <w:proofErr w:type="gramEnd"/>
                  <w:r w:rsidRPr="00A54DC1">
                    <w:rPr>
                      <w:color w:val="auto"/>
                      <w:sz w:val="28"/>
                      <w:szCs w:val="28"/>
                      <w:lang w:val="en-US"/>
                    </w:rPr>
                    <w:t xml:space="preserve"> </w:t>
                  </w:r>
                  <w:r w:rsidR="00E5145E" w:rsidRPr="00A54DC1">
                    <w:rPr>
                      <w:color w:val="auto"/>
                      <w:sz w:val="28"/>
                      <w:szCs w:val="28"/>
                    </w:rPr>
                    <w:fldChar w:fldCharType="begin"/>
                  </w:r>
                  <w:r w:rsidRPr="00A54DC1">
                    <w:rPr>
                      <w:color w:val="auto"/>
                      <w:sz w:val="28"/>
                      <w:szCs w:val="28"/>
                      <w:lang w:val="en-US"/>
                    </w:rPr>
                    <w:instrText xml:space="preserve"> SEQ Figure \* ARABIC </w:instrText>
                  </w:r>
                  <w:r w:rsidR="00E5145E" w:rsidRPr="00A54DC1">
                    <w:rPr>
                      <w:color w:val="auto"/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color w:val="auto"/>
                      <w:sz w:val="28"/>
                      <w:szCs w:val="28"/>
                      <w:lang w:val="en-US"/>
                    </w:rPr>
                    <w:t>1</w:t>
                  </w:r>
                  <w:r w:rsidR="00E5145E" w:rsidRPr="00A54DC1">
                    <w:rPr>
                      <w:color w:val="auto"/>
                      <w:sz w:val="28"/>
                      <w:szCs w:val="28"/>
                    </w:rPr>
                    <w:fldChar w:fldCharType="end"/>
                  </w:r>
                  <w:r w:rsidRPr="00A54DC1">
                    <w:rPr>
                      <w:color w:val="auto"/>
                      <w:sz w:val="28"/>
                      <w:szCs w:val="28"/>
                      <w:lang w:val="en-US"/>
                    </w:rPr>
                    <w:t xml:space="preserve">. </w:t>
                  </w:r>
                  <w:r>
                    <w:rPr>
                      <w:color w:val="auto"/>
                      <w:sz w:val="28"/>
                      <w:szCs w:val="28"/>
                      <w:lang w:val="en-US"/>
                    </w:rPr>
                    <w:t xml:space="preserve">Global plot: sequencing saturation. </w:t>
                  </w:r>
                  <w:r w:rsidRPr="00815F8A"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>This plot provides information about the level of saturation in the samples</w:t>
                  </w:r>
                  <w:r w:rsidRPr="000F7A4F"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 xml:space="preserve">, helping users to decide if more sequencing is needed and if more features </w:t>
                  </w:r>
                  <w:r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>could</w:t>
                  </w:r>
                  <w:r w:rsidRPr="000F7A4F"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 xml:space="preserve"> be detected by increasing the number of reads.</w:t>
                  </w:r>
                  <w:r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7B7BD5">
        <w:rPr>
          <w:rFonts w:cs="Helvetica"/>
          <w:b/>
          <w:noProof/>
          <w:sz w:val="20"/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-161290</wp:posOffset>
            </wp:positionV>
            <wp:extent cx="5737860" cy="5731510"/>
            <wp:effectExtent l="19050" t="0" r="0" b="0"/>
            <wp:wrapSquare wrapText="bothSides"/>
            <wp:docPr id="8" name="Рисунок 0" descr="SF01_Sat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01_Satura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AFC" w:rsidRPr="00403AFC">
        <w:rPr>
          <w:rFonts w:cs="Helvetica"/>
          <w:b/>
          <w:sz w:val="20"/>
          <w:lang w:val="en-US"/>
        </w:rPr>
        <w:br w:type="page"/>
      </w:r>
    </w:p>
    <w:p w:rsidR="00403AFC" w:rsidRPr="00403AFC" w:rsidRDefault="00E5145E" w:rsidP="00F77F1A">
      <w:pPr>
        <w:pStyle w:val="Articletitle"/>
        <w:rPr>
          <w:rFonts w:cs="Helvetica"/>
          <w:b w:val="0"/>
          <w:sz w:val="20"/>
        </w:rPr>
      </w:pPr>
      <w:r w:rsidRPr="00E5145E">
        <w:rPr>
          <w:noProof/>
        </w:rPr>
        <w:lastRenderedPageBreak/>
        <w:pict>
          <v:shape id="_x0000_s1027" type="#_x0000_t202" style="position:absolute;margin-left:-2.1pt;margin-top:462.3pt;width:451.3pt;height:.05pt;z-index:251663360" stroked="f">
            <v:textbox style="mso-fit-shape-to-text:t" inset="0,0,0,0">
              <w:txbxContent>
                <w:p w:rsidR="009D69D3" w:rsidRPr="00815F8A" w:rsidRDefault="009D69D3" w:rsidP="00401296">
                  <w:pPr>
                    <w:pStyle w:val="Caption"/>
                    <w:jc w:val="both"/>
                    <w:rPr>
                      <w:rFonts w:ascii="Helvetica" w:eastAsia="Times New Roman" w:hAnsi="Helvetica" w:cs="Helvetica"/>
                      <w:noProof/>
                      <w:color w:val="auto"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color w:val="auto"/>
                      <w:sz w:val="28"/>
                      <w:szCs w:val="28"/>
                      <w:lang w:val="en-US"/>
                    </w:rPr>
                    <w:t xml:space="preserve">Supplementary </w:t>
                  </w:r>
                  <w:r w:rsidRPr="00A54DC1">
                    <w:rPr>
                      <w:color w:val="auto"/>
                      <w:sz w:val="28"/>
                      <w:szCs w:val="28"/>
                      <w:lang w:val="en-US"/>
                    </w:rPr>
                    <w:t>Fig</w:t>
                  </w:r>
                  <w:r>
                    <w:rPr>
                      <w:color w:val="auto"/>
                      <w:sz w:val="28"/>
                      <w:szCs w:val="28"/>
                      <w:lang w:val="en-US"/>
                    </w:rPr>
                    <w:t>.</w:t>
                  </w:r>
                  <w:proofErr w:type="gramEnd"/>
                  <w:r w:rsidRPr="00A54DC1">
                    <w:rPr>
                      <w:color w:val="auto"/>
                      <w:sz w:val="28"/>
                      <w:szCs w:val="28"/>
                      <w:lang w:val="en-US"/>
                    </w:rPr>
                    <w:t xml:space="preserve"> </w:t>
                  </w:r>
                  <w:r w:rsidR="00E5145E" w:rsidRPr="004E5DE4">
                    <w:rPr>
                      <w:color w:val="auto"/>
                      <w:sz w:val="28"/>
                      <w:szCs w:val="28"/>
                    </w:rPr>
                    <w:fldChar w:fldCharType="begin"/>
                  </w:r>
                  <w:r w:rsidRPr="00A54DC1">
                    <w:rPr>
                      <w:color w:val="auto"/>
                      <w:sz w:val="28"/>
                      <w:szCs w:val="28"/>
                      <w:lang w:val="en-US"/>
                    </w:rPr>
                    <w:instrText xml:space="preserve"> SEQ Figure \* ARABIC </w:instrText>
                  </w:r>
                  <w:r w:rsidR="00E5145E" w:rsidRPr="004E5DE4">
                    <w:rPr>
                      <w:color w:val="auto"/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color w:val="auto"/>
                      <w:sz w:val="28"/>
                      <w:szCs w:val="28"/>
                      <w:lang w:val="en-US"/>
                    </w:rPr>
                    <w:t>2</w:t>
                  </w:r>
                  <w:r w:rsidR="00E5145E" w:rsidRPr="004E5DE4">
                    <w:rPr>
                      <w:color w:val="auto"/>
                      <w:sz w:val="28"/>
                      <w:szCs w:val="28"/>
                    </w:rPr>
                    <w:fldChar w:fldCharType="end"/>
                  </w:r>
                  <w:r>
                    <w:rPr>
                      <w:color w:val="auto"/>
                      <w:sz w:val="28"/>
                      <w:szCs w:val="28"/>
                      <w:lang w:val="en-US"/>
                    </w:rPr>
                    <w:t xml:space="preserve">. </w:t>
                  </w:r>
                  <w:r w:rsidRPr="00815F8A">
                    <w:rPr>
                      <w:color w:val="auto"/>
                      <w:sz w:val="28"/>
                      <w:szCs w:val="28"/>
                      <w:lang w:val="en-US"/>
                    </w:rPr>
                    <w:t>Global plot: counts density</w:t>
                  </w:r>
                  <w:r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 xml:space="preserve">. </w:t>
                  </w:r>
                  <w:r w:rsidRPr="00815F8A"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 xml:space="preserve">This plot shows </w:t>
                  </w:r>
                  <w:r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 xml:space="preserve">the </w:t>
                  </w:r>
                  <w:r w:rsidRPr="00815F8A"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>density computed from the histogram of log-transformed counts.</w:t>
                  </w:r>
                  <w:r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 xml:space="preserve"> Comparison of density allows detecti</w:t>
                  </w:r>
                  <w:r w:rsidR="00D51144"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>o</w:t>
                  </w:r>
                  <w:r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>n</w:t>
                  </w:r>
                  <w:r w:rsidR="00D51144"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 xml:space="preserve"> of</w:t>
                  </w:r>
                  <w:r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  <w:t xml:space="preserve"> outliers.</w:t>
                  </w:r>
                </w:p>
              </w:txbxContent>
            </v:textbox>
            <w10:wrap type="square"/>
          </v:shape>
        </w:pict>
      </w:r>
      <w:r w:rsidR="007B7BD5">
        <w:rPr>
          <w:rFonts w:cs="Helvetica"/>
          <w:b w:val="0"/>
          <w:noProof/>
          <w:sz w:val="20"/>
          <w:lang w:val="de-DE"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83820</wp:posOffset>
            </wp:positionV>
            <wp:extent cx="5731510" cy="5730240"/>
            <wp:effectExtent l="19050" t="0" r="2540" b="0"/>
            <wp:wrapSquare wrapText="bothSides"/>
            <wp:docPr id="9" name="Рисунок 8" descr="SF02_Counts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02_CountsDensit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BD5" w:rsidRDefault="007B7BD5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br w:type="page"/>
      </w:r>
    </w:p>
    <w:p w:rsidR="00A54DC1" w:rsidRDefault="007B7BD5" w:rsidP="00A54DC1">
      <w:pPr>
        <w:keepNext/>
      </w:pPr>
      <w:r>
        <w:rPr>
          <w:rFonts w:ascii="Helvetica" w:hAnsi="Helvetica" w:cs="Helvetica"/>
          <w:noProof/>
          <w:sz w:val="20"/>
          <w:szCs w:val="20"/>
          <w:lang w:val="de-DE" w:eastAsia="de-DE"/>
        </w:rPr>
        <w:lastRenderedPageBreak/>
        <w:drawing>
          <wp:inline distT="0" distB="0" distL="0" distR="0">
            <wp:extent cx="5731510" cy="5731510"/>
            <wp:effectExtent l="19050" t="0" r="2540" b="0"/>
            <wp:docPr id="10" name="Рисунок 9" descr="SF03_Scatterplot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03_ScatterplotMatrix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E4" w:rsidRPr="00A54DC1" w:rsidRDefault="00A54DC1" w:rsidP="00401296">
      <w:pPr>
        <w:pStyle w:val="Caption"/>
        <w:jc w:val="both"/>
        <w:rPr>
          <w:b w:val="0"/>
          <w:color w:val="auto"/>
          <w:sz w:val="28"/>
          <w:szCs w:val="28"/>
          <w:lang w:val="en-US"/>
        </w:rPr>
      </w:pPr>
      <w:proofErr w:type="gramStart"/>
      <w:r>
        <w:rPr>
          <w:color w:val="auto"/>
          <w:sz w:val="28"/>
          <w:szCs w:val="28"/>
          <w:lang w:val="en-US"/>
        </w:rPr>
        <w:t xml:space="preserve">Supplementary </w:t>
      </w:r>
      <w:r w:rsidRPr="00A54DC1">
        <w:rPr>
          <w:color w:val="auto"/>
          <w:sz w:val="28"/>
          <w:szCs w:val="28"/>
          <w:lang w:val="en-US"/>
        </w:rPr>
        <w:t>Fig</w:t>
      </w:r>
      <w:r w:rsidR="004662DA">
        <w:rPr>
          <w:color w:val="auto"/>
          <w:sz w:val="28"/>
          <w:szCs w:val="28"/>
          <w:lang w:val="en-US"/>
        </w:rPr>
        <w:t>.</w:t>
      </w:r>
      <w:proofErr w:type="gramEnd"/>
      <w:r w:rsidRPr="00A54DC1">
        <w:rPr>
          <w:color w:val="auto"/>
          <w:sz w:val="28"/>
          <w:szCs w:val="28"/>
          <w:lang w:val="en-US"/>
        </w:rPr>
        <w:t xml:space="preserve"> </w:t>
      </w:r>
      <w:r w:rsidR="00E5145E" w:rsidRPr="006B7DB3">
        <w:rPr>
          <w:color w:val="auto"/>
          <w:sz w:val="28"/>
          <w:szCs w:val="28"/>
        </w:rPr>
        <w:fldChar w:fldCharType="begin"/>
      </w:r>
      <w:r w:rsidRPr="006B7DB3">
        <w:rPr>
          <w:color w:val="auto"/>
          <w:sz w:val="28"/>
          <w:szCs w:val="28"/>
          <w:lang w:val="en-US"/>
        </w:rPr>
        <w:instrText xml:space="preserve"> SEQ Figure \* ARABIC </w:instrText>
      </w:r>
      <w:r w:rsidR="00E5145E" w:rsidRPr="006B7DB3">
        <w:rPr>
          <w:color w:val="auto"/>
          <w:sz w:val="28"/>
          <w:szCs w:val="28"/>
        </w:rPr>
        <w:fldChar w:fldCharType="separate"/>
      </w:r>
      <w:r w:rsidR="00E0580F" w:rsidRPr="006B7DB3">
        <w:rPr>
          <w:noProof/>
          <w:color w:val="auto"/>
          <w:sz w:val="28"/>
          <w:szCs w:val="28"/>
          <w:lang w:val="en-US"/>
        </w:rPr>
        <w:t>3</w:t>
      </w:r>
      <w:r w:rsidR="00E5145E" w:rsidRPr="006B7DB3">
        <w:rPr>
          <w:color w:val="auto"/>
          <w:sz w:val="28"/>
          <w:szCs w:val="28"/>
        </w:rPr>
        <w:fldChar w:fldCharType="end"/>
      </w:r>
      <w:r w:rsidRPr="006B7DB3">
        <w:rPr>
          <w:color w:val="auto"/>
          <w:sz w:val="28"/>
          <w:szCs w:val="28"/>
          <w:lang w:val="en-US"/>
        </w:rPr>
        <w:t xml:space="preserve">. </w:t>
      </w:r>
      <w:r w:rsidR="00815F8A" w:rsidRPr="006B7DB3">
        <w:rPr>
          <w:color w:val="auto"/>
          <w:sz w:val="28"/>
          <w:szCs w:val="28"/>
          <w:lang w:val="en-US"/>
        </w:rPr>
        <w:t>G</w:t>
      </w:r>
      <w:r w:rsidR="00815F8A" w:rsidRPr="00815F8A">
        <w:rPr>
          <w:color w:val="auto"/>
          <w:sz w:val="28"/>
          <w:szCs w:val="28"/>
          <w:lang w:val="en-US"/>
        </w:rPr>
        <w:t xml:space="preserve">lobal plot: </w:t>
      </w:r>
      <w:proofErr w:type="spellStart"/>
      <w:r w:rsidR="00815F8A" w:rsidRPr="00815F8A">
        <w:rPr>
          <w:color w:val="auto"/>
          <w:sz w:val="28"/>
          <w:szCs w:val="28"/>
          <w:lang w:val="en-US"/>
        </w:rPr>
        <w:t>s</w:t>
      </w:r>
      <w:r w:rsidRPr="00815F8A">
        <w:rPr>
          <w:color w:val="auto"/>
          <w:sz w:val="28"/>
          <w:szCs w:val="28"/>
          <w:lang w:val="en-US"/>
        </w:rPr>
        <w:t>catterplot</w:t>
      </w:r>
      <w:proofErr w:type="spellEnd"/>
      <w:r w:rsidRPr="00815F8A">
        <w:rPr>
          <w:color w:val="auto"/>
          <w:sz w:val="28"/>
          <w:szCs w:val="28"/>
          <w:lang w:val="en-US"/>
        </w:rPr>
        <w:t xml:space="preserve"> matrix</w:t>
      </w:r>
      <w:r w:rsidR="00815F8A" w:rsidRPr="00815F8A">
        <w:rPr>
          <w:color w:val="auto"/>
          <w:sz w:val="28"/>
          <w:szCs w:val="28"/>
          <w:lang w:val="en-US"/>
        </w:rPr>
        <w:t>.</w:t>
      </w:r>
      <w:r>
        <w:rPr>
          <w:b w:val="0"/>
          <w:color w:val="auto"/>
          <w:sz w:val="28"/>
          <w:szCs w:val="28"/>
          <w:lang w:val="en-US"/>
        </w:rPr>
        <w:t xml:space="preserve"> </w:t>
      </w:r>
      <w:r w:rsidR="00815F8A">
        <w:rPr>
          <w:b w:val="0"/>
          <w:color w:val="auto"/>
          <w:sz w:val="28"/>
          <w:szCs w:val="28"/>
          <w:lang w:val="en-US"/>
        </w:rPr>
        <w:t>For each pair of samples t</w:t>
      </w:r>
      <w:r w:rsidR="00815F8A" w:rsidRPr="00815F8A">
        <w:rPr>
          <w:b w:val="0"/>
          <w:color w:val="auto"/>
          <w:sz w:val="28"/>
          <w:szCs w:val="28"/>
          <w:lang w:val="en-US"/>
        </w:rPr>
        <w:t xml:space="preserve">he panel shows a </w:t>
      </w:r>
      <w:proofErr w:type="spellStart"/>
      <w:r w:rsidR="00815F8A" w:rsidRPr="00815F8A">
        <w:rPr>
          <w:b w:val="0"/>
          <w:color w:val="auto"/>
          <w:sz w:val="28"/>
          <w:szCs w:val="28"/>
          <w:lang w:val="en-US"/>
        </w:rPr>
        <w:t>scatterplot</w:t>
      </w:r>
      <w:proofErr w:type="spellEnd"/>
      <w:r w:rsidR="00815F8A" w:rsidRPr="00815F8A">
        <w:rPr>
          <w:b w:val="0"/>
          <w:color w:val="auto"/>
          <w:sz w:val="28"/>
          <w:szCs w:val="28"/>
          <w:lang w:val="en-US"/>
        </w:rPr>
        <w:t xml:space="preserve"> along with smoothed line (lower panel) and Pearson correlation coefficients (upper panel</w:t>
      </w:r>
      <w:r w:rsidR="004662DA">
        <w:rPr>
          <w:b w:val="0"/>
          <w:color w:val="auto"/>
          <w:sz w:val="28"/>
          <w:szCs w:val="28"/>
          <w:lang w:val="en-US"/>
        </w:rPr>
        <w:t>)</w:t>
      </w:r>
      <w:r w:rsidR="00815F8A" w:rsidRPr="00815F8A">
        <w:rPr>
          <w:b w:val="0"/>
          <w:color w:val="auto"/>
          <w:sz w:val="28"/>
          <w:szCs w:val="28"/>
          <w:lang w:val="en-US"/>
        </w:rPr>
        <w:t>. Plots are generated using log-transformed counts.</w:t>
      </w:r>
      <w:r>
        <w:rPr>
          <w:b w:val="0"/>
          <w:color w:val="auto"/>
          <w:sz w:val="28"/>
          <w:szCs w:val="28"/>
          <w:lang w:val="en-US"/>
        </w:rPr>
        <w:t xml:space="preserve"> </w:t>
      </w:r>
      <w:r w:rsidR="00C5076B">
        <w:rPr>
          <w:b w:val="0"/>
          <w:color w:val="auto"/>
          <w:sz w:val="28"/>
          <w:szCs w:val="28"/>
          <w:lang w:val="en-US"/>
        </w:rPr>
        <w:t xml:space="preserve">Such plots are helpful </w:t>
      </w:r>
      <w:r w:rsidR="00AE48E4">
        <w:rPr>
          <w:b w:val="0"/>
          <w:color w:val="auto"/>
          <w:sz w:val="28"/>
          <w:szCs w:val="28"/>
          <w:lang w:val="en-US"/>
        </w:rPr>
        <w:t xml:space="preserve">for </w:t>
      </w:r>
      <w:r w:rsidR="00C5076B">
        <w:rPr>
          <w:b w:val="0"/>
          <w:color w:val="auto"/>
          <w:sz w:val="28"/>
          <w:szCs w:val="28"/>
          <w:lang w:val="en-US"/>
        </w:rPr>
        <w:t>comparison of difference between states.</w:t>
      </w:r>
    </w:p>
    <w:p w:rsidR="004E5DE4" w:rsidRDefault="004E5DE4" w:rsidP="004E5DE4">
      <w:pPr>
        <w:rPr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A54DC1" w:rsidRPr="00815F8A" w:rsidRDefault="004E5DE4" w:rsidP="00A54DC1">
      <w:pPr>
        <w:keepNext/>
        <w:rPr>
          <w:lang w:val="en-US"/>
        </w:rPr>
      </w:pPr>
      <w:r>
        <w:rPr>
          <w:rFonts w:ascii="Helvetica" w:hAnsi="Helvetica" w:cs="Helvetica"/>
          <w:noProof/>
          <w:sz w:val="20"/>
          <w:szCs w:val="20"/>
          <w:lang w:val="de-DE" w:eastAsia="de-DE"/>
        </w:rPr>
        <w:lastRenderedPageBreak/>
        <w:drawing>
          <wp:inline distT="0" distB="0" distL="0" distR="0">
            <wp:extent cx="5731510" cy="5731510"/>
            <wp:effectExtent l="19050" t="0" r="2540" b="0"/>
            <wp:docPr id="13" name="Рисунок 10" descr="SF04_CountsPerBi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04_CountsPerBiotyp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C1" w:rsidRPr="00815F8A" w:rsidRDefault="00A54DC1" w:rsidP="00401296">
      <w:pPr>
        <w:pStyle w:val="Caption"/>
        <w:jc w:val="both"/>
        <w:rPr>
          <w:b w:val="0"/>
          <w:color w:val="auto"/>
          <w:sz w:val="28"/>
          <w:szCs w:val="28"/>
          <w:lang w:val="en-US"/>
        </w:rPr>
      </w:pPr>
      <w:proofErr w:type="gramStart"/>
      <w:r>
        <w:rPr>
          <w:color w:val="auto"/>
          <w:sz w:val="28"/>
          <w:szCs w:val="28"/>
          <w:lang w:val="en-US"/>
        </w:rPr>
        <w:t xml:space="preserve">Supplementary </w:t>
      </w:r>
      <w:r w:rsidRPr="00A54DC1">
        <w:rPr>
          <w:color w:val="auto"/>
          <w:sz w:val="28"/>
          <w:szCs w:val="28"/>
          <w:lang w:val="en-US"/>
        </w:rPr>
        <w:t>Fig</w:t>
      </w:r>
      <w:r w:rsidR="004662DA">
        <w:rPr>
          <w:color w:val="auto"/>
          <w:sz w:val="28"/>
          <w:szCs w:val="28"/>
          <w:lang w:val="en-US"/>
        </w:rPr>
        <w:t>.</w:t>
      </w:r>
      <w:proofErr w:type="gramEnd"/>
      <w:r w:rsidRPr="00A54DC1">
        <w:rPr>
          <w:color w:val="auto"/>
          <w:sz w:val="28"/>
          <w:szCs w:val="28"/>
          <w:lang w:val="en-US"/>
        </w:rPr>
        <w:t xml:space="preserve"> </w:t>
      </w:r>
      <w:r w:rsidR="00E5145E" w:rsidRPr="006B7DB3">
        <w:rPr>
          <w:color w:val="auto"/>
          <w:sz w:val="28"/>
          <w:szCs w:val="28"/>
        </w:rPr>
        <w:fldChar w:fldCharType="begin"/>
      </w:r>
      <w:r w:rsidRPr="006B7DB3">
        <w:rPr>
          <w:color w:val="auto"/>
          <w:sz w:val="28"/>
          <w:szCs w:val="28"/>
          <w:lang w:val="en-US"/>
        </w:rPr>
        <w:instrText xml:space="preserve"> SEQ Figure \* ARABIC </w:instrText>
      </w:r>
      <w:r w:rsidR="00E5145E" w:rsidRPr="006B7DB3">
        <w:rPr>
          <w:color w:val="auto"/>
          <w:sz w:val="28"/>
          <w:szCs w:val="28"/>
        </w:rPr>
        <w:fldChar w:fldCharType="separate"/>
      </w:r>
      <w:r w:rsidR="00E0580F" w:rsidRPr="006B7DB3">
        <w:rPr>
          <w:noProof/>
          <w:color w:val="auto"/>
          <w:sz w:val="28"/>
          <w:szCs w:val="28"/>
          <w:lang w:val="en-US"/>
        </w:rPr>
        <w:t>4</w:t>
      </w:r>
      <w:r w:rsidR="00E5145E" w:rsidRPr="006B7DB3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  <w:lang w:val="en-US"/>
        </w:rPr>
        <w:t xml:space="preserve">. </w:t>
      </w:r>
      <w:r w:rsidR="00815F8A">
        <w:rPr>
          <w:color w:val="auto"/>
          <w:sz w:val="28"/>
          <w:szCs w:val="28"/>
          <w:lang w:val="en-US"/>
        </w:rPr>
        <w:t xml:space="preserve">Single sample plot: counts per biotype. </w:t>
      </w:r>
      <w:r w:rsidR="00815F8A" w:rsidRPr="00815F8A">
        <w:rPr>
          <w:b w:val="0"/>
          <w:color w:val="auto"/>
          <w:sz w:val="28"/>
          <w:szCs w:val="28"/>
          <w:lang w:val="en-US"/>
        </w:rPr>
        <w:t xml:space="preserve">A </w:t>
      </w:r>
      <w:proofErr w:type="spellStart"/>
      <w:r w:rsidR="00815F8A" w:rsidRPr="00815F8A">
        <w:rPr>
          <w:b w:val="0"/>
          <w:color w:val="auto"/>
          <w:sz w:val="28"/>
          <w:szCs w:val="28"/>
          <w:lang w:val="en-US"/>
        </w:rPr>
        <w:t>boxplot</w:t>
      </w:r>
      <w:proofErr w:type="spellEnd"/>
      <w:r w:rsidR="00815F8A" w:rsidRPr="00815F8A">
        <w:rPr>
          <w:b w:val="0"/>
          <w:color w:val="auto"/>
          <w:sz w:val="28"/>
          <w:szCs w:val="28"/>
          <w:lang w:val="en-US"/>
        </w:rPr>
        <w:t xml:space="preserve"> desc</w:t>
      </w:r>
      <w:r w:rsidR="00815F8A">
        <w:rPr>
          <w:b w:val="0"/>
          <w:color w:val="auto"/>
          <w:sz w:val="28"/>
          <w:szCs w:val="28"/>
          <w:lang w:val="en-US"/>
        </w:rPr>
        <w:t>ribes the counts distribution among</w:t>
      </w:r>
      <w:r w:rsidR="00815F8A" w:rsidRPr="00815F8A">
        <w:rPr>
          <w:b w:val="0"/>
          <w:color w:val="auto"/>
          <w:sz w:val="28"/>
          <w:szCs w:val="28"/>
          <w:lang w:val="en-US"/>
        </w:rPr>
        <w:t xml:space="preserve"> given biotype</w:t>
      </w:r>
      <w:r w:rsidR="00815F8A">
        <w:rPr>
          <w:b w:val="0"/>
          <w:color w:val="auto"/>
          <w:sz w:val="28"/>
          <w:szCs w:val="28"/>
          <w:lang w:val="en-US"/>
        </w:rPr>
        <w:t>s of the features</w:t>
      </w:r>
      <w:r w:rsidR="00815F8A" w:rsidRPr="00815F8A">
        <w:rPr>
          <w:b w:val="0"/>
          <w:color w:val="auto"/>
          <w:sz w:val="28"/>
          <w:szCs w:val="28"/>
          <w:lang w:val="en-US"/>
        </w:rPr>
        <w:t>.</w:t>
      </w:r>
      <w:r w:rsidR="00BC6CDC">
        <w:rPr>
          <w:b w:val="0"/>
          <w:color w:val="auto"/>
          <w:sz w:val="28"/>
          <w:szCs w:val="28"/>
          <w:lang w:val="en-US"/>
        </w:rPr>
        <w:t xml:space="preserve"> This plot allows detecting </w:t>
      </w:r>
      <w:r w:rsidR="00AE48E4">
        <w:rPr>
          <w:b w:val="0"/>
          <w:color w:val="auto"/>
          <w:sz w:val="28"/>
          <w:szCs w:val="28"/>
          <w:lang w:val="en-US"/>
        </w:rPr>
        <w:t>whether</w:t>
      </w:r>
      <w:r w:rsidR="00BC6CDC">
        <w:rPr>
          <w:b w:val="0"/>
          <w:color w:val="auto"/>
          <w:sz w:val="28"/>
          <w:szCs w:val="28"/>
          <w:lang w:val="en-US"/>
        </w:rPr>
        <w:t xml:space="preserve"> a certain biotype doesn’t have enough data or</w:t>
      </w:r>
      <w:r w:rsidR="001E25E1">
        <w:rPr>
          <w:b w:val="0"/>
          <w:color w:val="auto"/>
          <w:sz w:val="28"/>
          <w:szCs w:val="28"/>
          <w:lang w:val="en-US"/>
        </w:rPr>
        <w:t xml:space="preserve"> by some reason over-</w:t>
      </w:r>
      <w:r w:rsidR="00BC6CDC">
        <w:rPr>
          <w:b w:val="0"/>
          <w:color w:val="auto"/>
          <w:sz w:val="28"/>
          <w:szCs w:val="28"/>
          <w:lang w:val="en-US"/>
        </w:rPr>
        <w:t>increased.</w:t>
      </w:r>
      <w:r w:rsidR="000F7A4F">
        <w:rPr>
          <w:b w:val="0"/>
          <w:color w:val="auto"/>
          <w:sz w:val="28"/>
          <w:szCs w:val="28"/>
          <w:lang w:val="en-US"/>
        </w:rPr>
        <w:t xml:space="preserve"> Note: heading indicates the name of the sample.</w:t>
      </w:r>
    </w:p>
    <w:p w:rsidR="004E5DE4" w:rsidRPr="00A54DC1" w:rsidRDefault="004E5DE4">
      <w:pPr>
        <w:rPr>
          <w:rFonts w:ascii="Helvetica" w:hAnsi="Helvetica" w:cs="Helvetica"/>
          <w:b/>
          <w:bCs/>
          <w:noProof/>
          <w:color w:val="4F81BD" w:themeColor="accent1"/>
          <w:sz w:val="20"/>
          <w:szCs w:val="20"/>
          <w:lang w:val="en-US" w:eastAsia="ru-RU"/>
        </w:rPr>
      </w:pPr>
      <w:r w:rsidRPr="00A54DC1">
        <w:rPr>
          <w:rFonts w:ascii="Helvetica" w:hAnsi="Helvetica" w:cs="Helvetica"/>
          <w:noProof/>
          <w:sz w:val="20"/>
          <w:szCs w:val="20"/>
          <w:lang w:val="en-US" w:eastAsia="ru-RU"/>
        </w:rPr>
        <w:br w:type="page"/>
      </w:r>
    </w:p>
    <w:p w:rsidR="0094617B" w:rsidRDefault="004E5DE4" w:rsidP="0094617B">
      <w:pPr>
        <w:keepNext/>
      </w:pPr>
      <w:r>
        <w:rPr>
          <w:rFonts w:ascii="Helvetica" w:hAnsi="Helvetica" w:cs="Helvetica"/>
          <w:noProof/>
          <w:sz w:val="20"/>
          <w:szCs w:val="20"/>
          <w:lang w:val="de-DE" w:eastAsia="de-DE"/>
        </w:rPr>
        <w:lastRenderedPageBreak/>
        <w:drawing>
          <wp:inline distT="0" distB="0" distL="0" distR="0">
            <wp:extent cx="5731510" cy="5731510"/>
            <wp:effectExtent l="19050" t="0" r="2540" b="0"/>
            <wp:docPr id="18" name="Рисунок 17" descr="SF07_FeaturesWithLowCounts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07_FeaturesWithLowCountsComparis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E4" w:rsidRPr="0094617B" w:rsidRDefault="0094617B" w:rsidP="00401296">
      <w:pPr>
        <w:pStyle w:val="Caption"/>
        <w:jc w:val="both"/>
        <w:rPr>
          <w:rFonts w:ascii="Helvetica" w:hAnsi="Helvetica" w:cs="Helvetica"/>
          <w:b w:val="0"/>
          <w:color w:val="auto"/>
          <w:sz w:val="28"/>
          <w:szCs w:val="28"/>
          <w:lang w:val="en-US"/>
        </w:rPr>
      </w:pPr>
      <w:proofErr w:type="gramStart"/>
      <w:r>
        <w:rPr>
          <w:color w:val="auto"/>
          <w:sz w:val="28"/>
          <w:szCs w:val="28"/>
          <w:lang w:val="en-US"/>
        </w:rPr>
        <w:t xml:space="preserve">Supplementary </w:t>
      </w:r>
      <w:r w:rsidRPr="0094617B">
        <w:rPr>
          <w:color w:val="auto"/>
          <w:sz w:val="28"/>
          <w:szCs w:val="28"/>
          <w:lang w:val="en-US"/>
        </w:rPr>
        <w:t>Fig</w:t>
      </w:r>
      <w:r w:rsidR="004662DA">
        <w:rPr>
          <w:color w:val="auto"/>
          <w:sz w:val="28"/>
          <w:szCs w:val="28"/>
          <w:lang w:val="en-US"/>
        </w:rPr>
        <w:t>.</w:t>
      </w:r>
      <w:r w:rsidRPr="0094617B">
        <w:rPr>
          <w:color w:val="auto"/>
          <w:sz w:val="28"/>
          <w:szCs w:val="28"/>
          <w:lang w:val="en-US"/>
        </w:rPr>
        <w:t xml:space="preserve"> </w:t>
      </w:r>
      <w:r w:rsidR="002C4A28">
        <w:rPr>
          <w:color w:val="auto"/>
          <w:sz w:val="28"/>
          <w:szCs w:val="28"/>
          <w:lang w:val="en-US"/>
        </w:rPr>
        <w:t>5</w:t>
      </w:r>
      <w:r>
        <w:rPr>
          <w:color w:val="auto"/>
          <w:sz w:val="28"/>
          <w:szCs w:val="28"/>
          <w:lang w:val="en-US"/>
        </w:rPr>
        <w:t>.</w:t>
      </w:r>
      <w:proofErr w:type="gramEnd"/>
      <w:r>
        <w:rPr>
          <w:color w:val="auto"/>
          <w:sz w:val="28"/>
          <w:szCs w:val="28"/>
          <w:lang w:val="en-US"/>
        </w:rPr>
        <w:t xml:space="preserve"> Comparison plot: features with low counts. </w:t>
      </w:r>
      <w:r w:rsidR="004662DA">
        <w:rPr>
          <w:b w:val="0"/>
          <w:color w:val="auto"/>
          <w:sz w:val="28"/>
          <w:szCs w:val="28"/>
          <w:lang w:val="en-US"/>
        </w:rPr>
        <w:t xml:space="preserve">This </w:t>
      </w:r>
      <w:r>
        <w:rPr>
          <w:b w:val="0"/>
          <w:color w:val="auto"/>
          <w:sz w:val="28"/>
          <w:szCs w:val="28"/>
          <w:lang w:val="en-US"/>
        </w:rPr>
        <w:t xml:space="preserve">plot compares </w:t>
      </w:r>
      <w:r w:rsidR="004662DA">
        <w:rPr>
          <w:b w:val="0"/>
          <w:color w:val="auto"/>
          <w:sz w:val="28"/>
          <w:szCs w:val="28"/>
          <w:lang w:val="en-US"/>
        </w:rPr>
        <w:t xml:space="preserve">the </w:t>
      </w:r>
      <w:r>
        <w:rPr>
          <w:b w:val="0"/>
          <w:color w:val="auto"/>
          <w:sz w:val="28"/>
          <w:szCs w:val="28"/>
          <w:lang w:val="en-US"/>
        </w:rPr>
        <w:t xml:space="preserve">proportions of features </w:t>
      </w:r>
      <w:r w:rsidR="00E9588B">
        <w:rPr>
          <w:b w:val="0"/>
          <w:color w:val="auto"/>
          <w:sz w:val="28"/>
          <w:szCs w:val="28"/>
          <w:lang w:val="en-US"/>
        </w:rPr>
        <w:t>with</w:t>
      </w:r>
      <w:r>
        <w:rPr>
          <w:b w:val="0"/>
          <w:color w:val="auto"/>
          <w:sz w:val="28"/>
          <w:szCs w:val="28"/>
          <w:lang w:val="en-US"/>
        </w:rPr>
        <w:t xml:space="preserve"> more than 0, 1, 2, 5 and 10 Counts </w:t>
      </w:r>
      <w:proofErr w:type="gramStart"/>
      <w:r>
        <w:rPr>
          <w:b w:val="0"/>
          <w:color w:val="auto"/>
          <w:sz w:val="28"/>
          <w:szCs w:val="28"/>
          <w:lang w:val="en-US"/>
        </w:rPr>
        <w:t>Per</w:t>
      </w:r>
      <w:proofErr w:type="gramEnd"/>
      <w:r>
        <w:rPr>
          <w:b w:val="0"/>
          <w:color w:val="auto"/>
          <w:sz w:val="28"/>
          <w:szCs w:val="28"/>
          <w:lang w:val="en-US"/>
        </w:rPr>
        <w:t xml:space="preserve"> Million (CPM) across conditions.</w:t>
      </w:r>
      <w:r w:rsidR="00BC6CDC">
        <w:rPr>
          <w:b w:val="0"/>
          <w:color w:val="auto"/>
          <w:sz w:val="28"/>
          <w:szCs w:val="28"/>
          <w:lang w:val="en-US"/>
        </w:rPr>
        <w:t xml:space="preserve"> </w:t>
      </w:r>
      <w:r w:rsidR="00C14DFA">
        <w:rPr>
          <w:b w:val="0"/>
          <w:color w:val="auto"/>
          <w:sz w:val="28"/>
          <w:szCs w:val="28"/>
          <w:lang w:val="en-US"/>
        </w:rPr>
        <w:t xml:space="preserve">Additionally </w:t>
      </w:r>
      <w:r w:rsidR="001E25E1">
        <w:rPr>
          <w:b w:val="0"/>
          <w:color w:val="auto"/>
          <w:sz w:val="28"/>
          <w:szCs w:val="28"/>
          <w:lang w:val="en-US"/>
        </w:rPr>
        <w:t>it</w:t>
      </w:r>
      <w:r w:rsidR="00C14DFA">
        <w:rPr>
          <w:b w:val="0"/>
          <w:color w:val="auto"/>
          <w:sz w:val="28"/>
          <w:szCs w:val="28"/>
          <w:lang w:val="en-US"/>
        </w:rPr>
        <w:t xml:space="preserve"> allows detection of </w:t>
      </w:r>
      <w:r w:rsidR="001E25E1">
        <w:rPr>
          <w:b w:val="0"/>
          <w:color w:val="auto"/>
          <w:sz w:val="28"/>
          <w:szCs w:val="28"/>
          <w:lang w:val="en-US"/>
        </w:rPr>
        <w:t>low</w:t>
      </w:r>
      <w:r w:rsidR="00C14DFA">
        <w:rPr>
          <w:b w:val="0"/>
          <w:color w:val="auto"/>
          <w:sz w:val="28"/>
          <w:szCs w:val="28"/>
          <w:lang w:val="en-US"/>
        </w:rPr>
        <w:t>-level expression profile</w:t>
      </w:r>
      <w:r w:rsidR="001E25E1">
        <w:rPr>
          <w:b w:val="0"/>
          <w:color w:val="auto"/>
          <w:sz w:val="28"/>
          <w:szCs w:val="28"/>
          <w:lang w:val="en-US"/>
        </w:rPr>
        <w:t xml:space="preserve"> of the dataset</w:t>
      </w:r>
      <w:r w:rsidR="00C14DFA">
        <w:rPr>
          <w:b w:val="0"/>
          <w:color w:val="auto"/>
          <w:sz w:val="28"/>
          <w:szCs w:val="28"/>
          <w:lang w:val="en-US"/>
        </w:rPr>
        <w:t>.</w:t>
      </w:r>
    </w:p>
    <w:p w:rsidR="00F77F1A" w:rsidRPr="004E5DE4" w:rsidRDefault="00F77F1A" w:rsidP="004E5DE4">
      <w:pPr>
        <w:rPr>
          <w:rFonts w:ascii="Helvetica" w:hAnsi="Helvetica" w:cs="Helvetica"/>
          <w:b/>
          <w:bCs/>
          <w:color w:val="4F81BD" w:themeColor="accent1"/>
          <w:sz w:val="20"/>
          <w:szCs w:val="20"/>
          <w:lang w:val="en-US"/>
        </w:rPr>
      </w:pPr>
    </w:p>
    <w:sectPr w:rsidR="00F77F1A" w:rsidRPr="004E5DE4" w:rsidSect="0066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28C" w:rsidRDefault="0055628C" w:rsidP="00403AFC">
      <w:pPr>
        <w:spacing w:after="0" w:line="240" w:lineRule="auto"/>
      </w:pPr>
      <w:r>
        <w:separator/>
      </w:r>
    </w:p>
  </w:endnote>
  <w:endnote w:type="continuationSeparator" w:id="0">
    <w:p w:rsidR="0055628C" w:rsidRDefault="0055628C" w:rsidP="0040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28C" w:rsidRDefault="0055628C" w:rsidP="00403AFC">
      <w:pPr>
        <w:spacing w:after="0" w:line="240" w:lineRule="auto"/>
      </w:pPr>
      <w:r>
        <w:separator/>
      </w:r>
    </w:p>
  </w:footnote>
  <w:footnote w:type="continuationSeparator" w:id="0">
    <w:p w:rsidR="0055628C" w:rsidRDefault="0055628C" w:rsidP="00403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10601"/>
    <w:multiLevelType w:val="hybridMultilevel"/>
    <w:tmpl w:val="7B5277BE"/>
    <w:lvl w:ilvl="0" w:tplc="1634223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55355"/>
    <w:multiLevelType w:val="hybridMultilevel"/>
    <w:tmpl w:val="A788AC04"/>
    <w:lvl w:ilvl="0" w:tplc="5F0261F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F1A"/>
    <w:rsid w:val="00001E36"/>
    <w:rsid w:val="000362DE"/>
    <w:rsid w:val="000525E7"/>
    <w:rsid w:val="00063A22"/>
    <w:rsid w:val="00064CEB"/>
    <w:rsid w:val="00083709"/>
    <w:rsid w:val="000F745E"/>
    <w:rsid w:val="000F7A4F"/>
    <w:rsid w:val="00112FB3"/>
    <w:rsid w:val="00152279"/>
    <w:rsid w:val="001761BE"/>
    <w:rsid w:val="00183044"/>
    <w:rsid w:val="001B40BF"/>
    <w:rsid w:val="001D7411"/>
    <w:rsid w:val="001E25E1"/>
    <w:rsid w:val="001E3D2A"/>
    <w:rsid w:val="00202FEF"/>
    <w:rsid w:val="00226C24"/>
    <w:rsid w:val="002366BB"/>
    <w:rsid w:val="00241D73"/>
    <w:rsid w:val="00243C63"/>
    <w:rsid w:val="00275096"/>
    <w:rsid w:val="00277296"/>
    <w:rsid w:val="002C4A28"/>
    <w:rsid w:val="002D33F9"/>
    <w:rsid w:val="003041C0"/>
    <w:rsid w:val="0034391E"/>
    <w:rsid w:val="003C346D"/>
    <w:rsid w:val="003D0EF3"/>
    <w:rsid w:val="003D1BA3"/>
    <w:rsid w:val="003D45B1"/>
    <w:rsid w:val="00401296"/>
    <w:rsid w:val="00403AFC"/>
    <w:rsid w:val="00431B7C"/>
    <w:rsid w:val="00455CF5"/>
    <w:rsid w:val="004658EF"/>
    <w:rsid w:val="004662DA"/>
    <w:rsid w:val="00473BA7"/>
    <w:rsid w:val="0047730A"/>
    <w:rsid w:val="004A5B63"/>
    <w:rsid w:val="004E5DE4"/>
    <w:rsid w:val="00507EFD"/>
    <w:rsid w:val="00545B4E"/>
    <w:rsid w:val="00550C5B"/>
    <w:rsid w:val="0055628C"/>
    <w:rsid w:val="00576B33"/>
    <w:rsid w:val="00581A65"/>
    <w:rsid w:val="00593AFA"/>
    <w:rsid w:val="00594D25"/>
    <w:rsid w:val="00596DD3"/>
    <w:rsid w:val="005B6989"/>
    <w:rsid w:val="005C30B3"/>
    <w:rsid w:val="005C394C"/>
    <w:rsid w:val="005F33FF"/>
    <w:rsid w:val="00660A00"/>
    <w:rsid w:val="006B3952"/>
    <w:rsid w:val="006B6A7C"/>
    <w:rsid w:val="006B7DB3"/>
    <w:rsid w:val="00764168"/>
    <w:rsid w:val="007818B7"/>
    <w:rsid w:val="00794473"/>
    <w:rsid w:val="007B0485"/>
    <w:rsid w:val="007B7BD5"/>
    <w:rsid w:val="007C4476"/>
    <w:rsid w:val="007D2DA1"/>
    <w:rsid w:val="007E171C"/>
    <w:rsid w:val="007E1C02"/>
    <w:rsid w:val="00815F8A"/>
    <w:rsid w:val="008436B1"/>
    <w:rsid w:val="00857537"/>
    <w:rsid w:val="008D7189"/>
    <w:rsid w:val="009129B4"/>
    <w:rsid w:val="00937DD7"/>
    <w:rsid w:val="0094617B"/>
    <w:rsid w:val="0096513E"/>
    <w:rsid w:val="009664F2"/>
    <w:rsid w:val="009C5779"/>
    <w:rsid w:val="009D69D3"/>
    <w:rsid w:val="00A353C7"/>
    <w:rsid w:val="00A472E9"/>
    <w:rsid w:val="00A54DC1"/>
    <w:rsid w:val="00A77017"/>
    <w:rsid w:val="00A92187"/>
    <w:rsid w:val="00AD1CF3"/>
    <w:rsid w:val="00AE48E4"/>
    <w:rsid w:val="00AF5815"/>
    <w:rsid w:val="00B20C4F"/>
    <w:rsid w:val="00B30FE0"/>
    <w:rsid w:val="00B54D2B"/>
    <w:rsid w:val="00B56BA6"/>
    <w:rsid w:val="00B97855"/>
    <w:rsid w:val="00B97EBA"/>
    <w:rsid w:val="00BC6CDC"/>
    <w:rsid w:val="00BF458F"/>
    <w:rsid w:val="00C07955"/>
    <w:rsid w:val="00C1331F"/>
    <w:rsid w:val="00C14DFA"/>
    <w:rsid w:val="00C20812"/>
    <w:rsid w:val="00C5076B"/>
    <w:rsid w:val="00CA7C87"/>
    <w:rsid w:val="00CB3AE6"/>
    <w:rsid w:val="00CE6F46"/>
    <w:rsid w:val="00CF561B"/>
    <w:rsid w:val="00D0561F"/>
    <w:rsid w:val="00D359A7"/>
    <w:rsid w:val="00D436C5"/>
    <w:rsid w:val="00D50824"/>
    <w:rsid w:val="00D51144"/>
    <w:rsid w:val="00DB57C5"/>
    <w:rsid w:val="00DD7223"/>
    <w:rsid w:val="00DF3133"/>
    <w:rsid w:val="00E0580F"/>
    <w:rsid w:val="00E5145E"/>
    <w:rsid w:val="00E9588B"/>
    <w:rsid w:val="00EB4D79"/>
    <w:rsid w:val="00F10377"/>
    <w:rsid w:val="00F35827"/>
    <w:rsid w:val="00F65980"/>
    <w:rsid w:val="00F77F1A"/>
    <w:rsid w:val="00F977A4"/>
    <w:rsid w:val="00FE2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rsid w:val="00F77F1A"/>
    <w:pPr>
      <w:spacing w:before="92" w:after="0" w:line="420" w:lineRule="exact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3A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3A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3AF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F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B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B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BD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B7BD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A"/>
    <w:rPr>
      <w:b/>
      <w:bCs/>
    </w:rPr>
  </w:style>
  <w:style w:type="paragraph" w:styleId="ListParagraph">
    <w:name w:val="List Paragraph"/>
    <w:basedOn w:val="Normal"/>
    <w:uiPriority w:val="34"/>
    <w:qFormat/>
    <w:rsid w:val="000525E7"/>
    <w:pPr>
      <w:ind w:left="720"/>
      <w:contextualSpacing/>
    </w:pPr>
  </w:style>
  <w:style w:type="table" w:styleId="TableGrid">
    <w:name w:val="Table Grid"/>
    <w:basedOn w:val="TableNormal"/>
    <w:uiPriority w:val="59"/>
    <w:rsid w:val="001E3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D1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CF3"/>
  </w:style>
  <w:style w:type="paragraph" w:styleId="Footer">
    <w:name w:val="footer"/>
    <w:basedOn w:val="Normal"/>
    <w:link w:val="FooterChar"/>
    <w:uiPriority w:val="99"/>
    <w:semiHidden/>
    <w:unhideWhenUsed/>
    <w:rsid w:val="00AD1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CF3"/>
  </w:style>
  <w:style w:type="paragraph" w:styleId="Revision">
    <w:name w:val="Revision"/>
    <w:hidden/>
    <w:uiPriority w:val="99"/>
    <w:semiHidden/>
    <w:rsid w:val="00063A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63678C5-1A93-4163-A532-024BA7E2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799</Words>
  <Characters>5037</Characters>
  <Application>Microsoft Office Word</Application>
  <DocSecurity>4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MPIIB</Company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okko</dc:creator>
  <cp:lastModifiedBy>zietlow</cp:lastModifiedBy>
  <cp:revision>2</cp:revision>
  <cp:lastPrinted>2015-07-08T12:45:00Z</cp:lastPrinted>
  <dcterms:created xsi:type="dcterms:W3CDTF">2015-09-02T07:56:00Z</dcterms:created>
  <dcterms:modified xsi:type="dcterms:W3CDTF">2015-09-02T07:56:00Z</dcterms:modified>
</cp:coreProperties>
</file>