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5B6CE" w14:textId="175B86AD" w:rsidR="00DA3443" w:rsidRDefault="00DA3443" w:rsidP="00DA3443">
      <w:pPr>
        <w:jc w:val="center"/>
        <w:rPr>
          <w:rFonts w:cs="Calibri"/>
          <w:b/>
          <w:color w:val="470A68"/>
          <w:sz w:val="26"/>
          <w:szCs w:val="26"/>
        </w:rPr>
      </w:pPr>
      <w:r w:rsidRPr="00DA3443">
        <w:rPr>
          <w:rFonts w:cs="Calibri"/>
          <w:b/>
          <w:color w:val="470A68"/>
          <w:sz w:val="26"/>
          <w:szCs w:val="26"/>
        </w:rPr>
        <w:t xml:space="preserve">Ethical Decision-Making and </w:t>
      </w:r>
      <w:r w:rsidR="00B150DC">
        <w:rPr>
          <w:rFonts w:cs="Calibri"/>
          <w:b/>
          <w:color w:val="470A68"/>
          <w:sz w:val="26"/>
          <w:szCs w:val="26"/>
        </w:rPr>
        <w:t xml:space="preserve">Art of Speaking </w:t>
      </w:r>
    </w:p>
    <w:p w14:paraId="1EB8507F" w14:textId="652306A1" w:rsidR="00DA3443" w:rsidRPr="0081177B" w:rsidRDefault="00DA3443" w:rsidP="00DA3443">
      <w:pPr>
        <w:pBdr>
          <w:bottom w:val="single" w:sz="6" w:space="1" w:color="auto"/>
        </w:pBdr>
        <w:jc w:val="center"/>
        <w:rPr>
          <w:rFonts w:cs="Calibri"/>
          <w:b/>
          <w:color w:val="470A68"/>
          <w:sz w:val="26"/>
          <w:szCs w:val="26"/>
        </w:rPr>
      </w:pPr>
      <w:r w:rsidRPr="0081177B">
        <w:rPr>
          <w:rFonts w:cs="Calibri"/>
          <w:b/>
          <w:color w:val="470A68"/>
          <w:sz w:val="26"/>
          <w:szCs w:val="26"/>
        </w:rPr>
        <w:t>GLOSSARY</w:t>
      </w:r>
    </w:p>
    <w:p w14:paraId="3B23773B" w14:textId="77777777" w:rsidR="00DA3443" w:rsidRDefault="00DA3443" w:rsidP="00CE00AC">
      <w:pPr>
        <w:tabs>
          <w:tab w:val="num" w:pos="2257"/>
        </w:tabs>
        <w:rPr>
          <w:rFonts w:cs="Calibri"/>
          <w:b/>
          <w:color w:val="470A68"/>
          <w:sz w:val="26"/>
          <w:szCs w:val="26"/>
        </w:rPr>
      </w:pPr>
    </w:p>
    <w:p w14:paraId="59234BF5" w14:textId="77777777" w:rsidR="00DA3443" w:rsidRDefault="00DA3443" w:rsidP="00CE00AC">
      <w:pPr>
        <w:tabs>
          <w:tab w:val="num" w:pos="2257"/>
        </w:tabs>
        <w:rPr>
          <w:rFonts w:cs="Calibri"/>
        </w:rPr>
      </w:pPr>
    </w:p>
    <w:tbl>
      <w:tblPr>
        <w:tblW w:w="946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7402"/>
      </w:tblGrid>
      <w:tr w:rsidR="00CE00AC" w:rsidRPr="00CE00AC" w14:paraId="0B5046C8" w14:textId="77777777" w:rsidTr="009056EA">
        <w:trPr>
          <w:trHeight w:val="458"/>
        </w:trPr>
        <w:tc>
          <w:tcPr>
            <w:tcW w:w="2062" w:type="dxa"/>
            <w:shd w:val="clear" w:color="auto" w:fill="470A68"/>
            <w:vAlign w:val="center"/>
            <w:hideMark/>
          </w:tcPr>
          <w:p w14:paraId="0F17E911" w14:textId="77777777" w:rsidR="00CE00AC" w:rsidRPr="00CE00AC" w:rsidRDefault="00CE00AC" w:rsidP="00CE00AC">
            <w:pPr>
              <w:rPr>
                <w:rFonts w:cs="Arial"/>
                <w:b/>
                <w:bCs/>
                <w:color w:val="FFFFFF" w:themeColor="background1"/>
                <w:sz w:val="24"/>
                <w:szCs w:val="24"/>
              </w:rPr>
            </w:pPr>
            <w:r w:rsidRPr="00CE00AC">
              <w:rPr>
                <w:rFonts w:cs="Arial"/>
                <w:b/>
                <w:bCs/>
                <w:color w:val="FFFFFF" w:themeColor="background1"/>
                <w:sz w:val="24"/>
                <w:szCs w:val="24"/>
              </w:rPr>
              <w:t>Term</w:t>
            </w:r>
          </w:p>
        </w:tc>
        <w:tc>
          <w:tcPr>
            <w:tcW w:w="7402" w:type="dxa"/>
            <w:shd w:val="clear" w:color="auto" w:fill="470A68"/>
            <w:vAlign w:val="center"/>
            <w:hideMark/>
          </w:tcPr>
          <w:p w14:paraId="2354E7E0" w14:textId="77777777" w:rsidR="00CE00AC" w:rsidRPr="00CE00AC" w:rsidRDefault="00CE00AC" w:rsidP="00CE00AC">
            <w:pPr>
              <w:rPr>
                <w:rFonts w:cs="Arial"/>
                <w:b/>
                <w:bCs/>
                <w:color w:val="FFFFFF" w:themeColor="background1"/>
                <w:sz w:val="24"/>
                <w:szCs w:val="24"/>
              </w:rPr>
            </w:pPr>
            <w:r w:rsidRPr="00CE00AC">
              <w:rPr>
                <w:rFonts w:cs="Arial"/>
                <w:b/>
                <w:bCs/>
                <w:color w:val="FFFFFF" w:themeColor="background1"/>
                <w:sz w:val="24"/>
                <w:szCs w:val="24"/>
              </w:rPr>
              <w:t>Definition</w:t>
            </w:r>
          </w:p>
        </w:tc>
      </w:tr>
      <w:tr w:rsidR="00CE00AC" w:rsidRPr="00CE00AC" w14:paraId="4E0658E7" w14:textId="77777777" w:rsidTr="009056EA">
        <w:trPr>
          <w:trHeight w:val="827"/>
        </w:trPr>
        <w:tc>
          <w:tcPr>
            <w:tcW w:w="2062" w:type="dxa"/>
            <w:shd w:val="clear" w:color="auto" w:fill="auto"/>
            <w:vAlign w:val="center"/>
          </w:tcPr>
          <w:p w14:paraId="21B8284C" w14:textId="3B9F0039" w:rsidR="00CE00AC" w:rsidRPr="00234107" w:rsidRDefault="00B150DC" w:rsidP="00B150DC">
            <w:pPr>
              <w:rPr>
                <w:rFonts w:cs="Arial"/>
                <w:b/>
                <w:color w:val="000000"/>
              </w:rPr>
            </w:pPr>
            <w:r>
              <w:rPr>
                <w:rFonts w:cs="Arial"/>
                <w:b/>
                <w:color w:val="000000"/>
              </w:rPr>
              <w:t>Choice</w:t>
            </w:r>
          </w:p>
        </w:tc>
        <w:tc>
          <w:tcPr>
            <w:tcW w:w="7402" w:type="dxa"/>
            <w:shd w:val="clear" w:color="auto" w:fill="auto"/>
            <w:vAlign w:val="center"/>
          </w:tcPr>
          <w:p w14:paraId="30EEA395" w14:textId="0B09889B" w:rsidR="00CE00AC" w:rsidRPr="00B150DC" w:rsidRDefault="00B150DC" w:rsidP="00CE00AC">
            <w:pPr>
              <w:rPr>
                <w:rFonts w:asciiTheme="minorHAnsi" w:hAnsiTheme="minorHAnsi" w:cs="Arial"/>
                <w:color w:val="000000"/>
              </w:rPr>
            </w:pPr>
            <w:r w:rsidRPr="00B150DC">
              <w:rPr>
                <w:rFonts w:asciiTheme="minorHAnsi" w:hAnsiTheme="minorHAnsi" w:cs="Arial"/>
              </w:rPr>
              <w:t>Choice is the third pillar in GVV, and it asks you to examine your own track record of speaking up to demonstrate that there is often a choice, even when you think there isn’t one. GVV also suggests recognizing, respecting, and appealing to the capacity for choice in others. The key with choice is to identify what has enabled and disabled you in the past.</w:t>
            </w:r>
          </w:p>
        </w:tc>
      </w:tr>
      <w:tr w:rsidR="00CE00AC" w:rsidRPr="00CE00AC" w14:paraId="209883CD" w14:textId="77777777" w:rsidTr="009056EA">
        <w:trPr>
          <w:trHeight w:val="1070"/>
        </w:trPr>
        <w:tc>
          <w:tcPr>
            <w:tcW w:w="2062" w:type="dxa"/>
            <w:shd w:val="clear" w:color="auto" w:fill="auto"/>
            <w:vAlign w:val="center"/>
            <w:hideMark/>
          </w:tcPr>
          <w:p w14:paraId="648D8496" w14:textId="159F3539" w:rsidR="00CE00AC" w:rsidRPr="00B150DC" w:rsidRDefault="00B150DC" w:rsidP="00CE00AC">
            <w:pPr>
              <w:rPr>
                <w:rFonts w:asciiTheme="minorHAnsi" w:hAnsiTheme="minorHAnsi" w:cs="Arial"/>
                <w:b/>
                <w:color w:val="000000"/>
              </w:rPr>
            </w:pPr>
            <w:r w:rsidRPr="00B150DC">
              <w:rPr>
                <w:rFonts w:asciiTheme="minorHAnsi" w:hAnsiTheme="minorHAnsi" w:cs="Arial"/>
                <w:b/>
              </w:rPr>
              <w:t>Common reasons people choose not to speak up: Fear</w:t>
            </w:r>
          </w:p>
        </w:tc>
        <w:tc>
          <w:tcPr>
            <w:tcW w:w="7402" w:type="dxa"/>
            <w:shd w:val="clear" w:color="auto" w:fill="auto"/>
            <w:vAlign w:val="center"/>
            <w:hideMark/>
          </w:tcPr>
          <w:p w14:paraId="24245333" w14:textId="62B391BF" w:rsidR="00CE00AC" w:rsidRPr="00B150DC" w:rsidRDefault="00B150DC" w:rsidP="00CE00AC">
            <w:pPr>
              <w:rPr>
                <w:rFonts w:asciiTheme="minorHAnsi" w:hAnsiTheme="minorHAnsi" w:cs="Arial"/>
                <w:color w:val="000000"/>
              </w:rPr>
            </w:pPr>
            <w:r w:rsidRPr="00B150DC">
              <w:rPr>
                <w:rFonts w:asciiTheme="minorHAnsi" w:hAnsiTheme="minorHAnsi" w:cs="Arial"/>
              </w:rPr>
              <w:t>Being afraid of negative impact to yourself or to others can make it feel unsafe to speak up. Part of a Speak Up culture involves addressing these concerns and ensuring everyone feels both safe and encouraged to raise concerns.</w:t>
            </w:r>
          </w:p>
        </w:tc>
      </w:tr>
      <w:tr w:rsidR="00CE00AC" w:rsidRPr="00CE00AC" w14:paraId="29478B99" w14:textId="77777777" w:rsidTr="009056EA">
        <w:trPr>
          <w:trHeight w:val="1610"/>
        </w:trPr>
        <w:tc>
          <w:tcPr>
            <w:tcW w:w="2062" w:type="dxa"/>
            <w:shd w:val="clear" w:color="auto" w:fill="auto"/>
            <w:vAlign w:val="center"/>
            <w:hideMark/>
          </w:tcPr>
          <w:p w14:paraId="160512C3" w14:textId="04E4B4E5" w:rsidR="00CE00AC" w:rsidRPr="00B150DC" w:rsidRDefault="00B150DC" w:rsidP="006B37F0">
            <w:pPr>
              <w:rPr>
                <w:rFonts w:asciiTheme="minorHAnsi" w:hAnsiTheme="minorHAnsi" w:cs="Arial"/>
                <w:b/>
                <w:color w:val="000000"/>
              </w:rPr>
            </w:pPr>
            <w:r w:rsidRPr="00B150DC">
              <w:rPr>
                <w:rFonts w:asciiTheme="minorHAnsi" w:hAnsiTheme="minorHAnsi" w:cs="Arial"/>
                <w:b/>
              </w:rPr>
              <w:t>Common reasons people choose not to speak up: Rationalization</w:t>
            </w:r>
          </w:p>
        </w:tc>
        <w:tc>
          <w:tcPr>
            <w:tcW w:w="7402" w:type="dxa"/>
            <w:shd w:val="clear" w:color="auto" w:fill="auto"/>
            <w:vAlign w:val="center"/>
            <w:hideMark/>
          </w:tcPr>
          <w:p w14:paraId="5BAD7AA9" w14:textId="53845969" w:rsidR="00CE00AC" w:rsidRPr="00B150DC" w:rsidRDefault="00B150DC" w:rsidP="00B150DC">
            <w:pPr>
              <w:rPr>
                <w:rFonts w:asciiTheme="minorHAnsi" w:hAnsiTheme="minorHAnsi" w:cs="Arial"/>
                <w:color w:val="000000"/>
              </w:rPr>
            </w:pPr>
            <w:r w:rsidRPr="00B150DC">
              <w:rPr>
                <w:rFonts w:asciiTheme="minorHAnsi" w:hAnsiTheme="minorHAnsi" w:cs="Arial"/>
              </w:rPr>
              <w:t>There is a human tendency to rationalize unethical behavior, and we sometimes fail to act in line with our values. For example, the belief that everyone else is engaging in the same behavior may mean that not only do we fail to raise ethical concerns, but we may also willingly engage in unethical behavior.</w:t>
            </w:r>
          </w:p>
        </w:tc>
        <w:bookmarkStart w:id="0" w:name="_GoBack"/>
        <w:bookmarkEnd w:id="0"/>
      </w:tr>
      <w:tr w:rsidR="00CE00AC" w:rsidRPr="00CE00AC" w14:paraId="4E9D493A" w14:textId="77777777" w:rsidTr="009056EA">
        <w:trPr>
          <w:trHeight w:val="1315"/>
        </w:trPr>
        <w:tc>
          <w:tcPr>
            <w:tcW w:w="2062" w:type="dxa"/>
            <w:shd w:val="clear" w:color="auto" w:fill="auto"/>
            <w:vAlign w:val="center"/>
            <w:hideMark/>
          </w:tcPr>
          <w:p w14:paraId="38C33D21" w14:textId="79697E89" w:rsidR="00CE00AC" w:rsidRPr="00B150DC" w:rsidRDefault="00B150DC" w:rsidP="00CE00AC">
            <w:pPr>
              <w:rPr>
                <w:rFonts w:asciiTheme="minorHAnsi" w:hAnsiTheme="minorHAnsi" w:cs="Arial"/>
                <w:b/>
                <w:color w:val="000000"/>
              </w:rPr>
            </w:pPr>
            <w:r w:rsidRPr="00B150DC">
              <w:rPr>
                <w:rFonts w:asciiTheme="minorHAnsi" w:hAnsiTheme="minorHAnsi" w:cs="Arial"/>
                <w:b/>
              </w:rPr>
              <w:t>Common reasons people choose not to speak up: Response</w:t>
            </w:r>
          </w:p>
        </w:tc>
        <w:tc>
          <w:tcPr>
            <w:tcW w:w="7402" w:type="dxa"/>
            <w:shd w:val="clear" w:color="auto" w:fill="auto"/>
            <w:vAlign w:val="center"/>
            <w:hideMark/>
          </w:tcPr>
          <w:p w14:paraId="350CFEF2" w14:textId="1D6FAFD9" w:rsidR="00CE00AC" w:rsidRPr="00B150DC" w:rsidRDefault="00B150DC" w:rsidP="00CE00AC">
            <w:pPr>
              <w:rPr>
                <w:rFonts w:asciiTheme="minorHAnsi" w:hAnsiTheme="minorHAnsi" w:cs="Arial"/>
                <w:color w:val="000000"/>
              </w:rPr>
            </w:pPr>
            <w:r w:rsidRPr="00B150DC">
              <w:rPr>
                <w:rFonts w:asciiTheme="minorHAnsi" w:hAnsiTheme="minorHAnsi" w:cs="Arial"/>
              </w:rPr>
              <w:t>Believing that nothing will be done if you speak up is a barrier for some people to raise concerns.  Having an effective Ethics and Compliance program is proven to increase trust within an organization and help people see that speaking up will have a positive impact.</w:t>
            </w:r>
          </w:p>
        </w:tc>
      </w:tr>
      <w:tr w:rsidR="00CE00AC" w:rsidRPr="00CE00AC" w14:paraId="09BB0E99" w14:textId="77777777" w:rsidTr="009056EA">
        <w:trPr>
          <w:trHeight w:val="2177"/>
        </w:trPr>
        <w:tc>
          <w:tcPr>
            <w:tcW w:w="2062" w:type="dxa"/>
            <w:shd w:val="clear" w:color="auto" w:fill="auto"/>
            <w:vAlign w:val="center"/>
            <w:hideMark/>
          </w:tcPr>
          <w:p w14:paraId="030F2292" w14:textId="5E8DB68C" w:rsidR="00CE00AC" w:rsidRPr="00B150DC" w:rsidRDefault="00B150DC" w:rsidP="00CE00AC">
            <w:pPr>
              <w:rPr>
                <w:rFonts w:asciiTheme="minorHAnsi" w:hAnsiTheme="minorHAnsi" w:cs="Arial"/>
                <w:b/>
              </w:rPr>
            </w:pPr>
            <w:r w:rsidRPr="00B150DC">
              <w:rPr>
                <w:rFonts w:asciiTheme="minorHAnsi" w:hAnsiTheme="minorHAnsi" w:cs="Arial"/>
                <w:b/>
              </w:rPr>
              <w:t>Common reasons people choose not to speak up: Skills</w:t>
            </w:r>
          </w:p>
        </w:tc>
        <w:tc>
          <w:tcPr>
            <w:tcW w:w="7402" w:type="dxa"/>
            <w:shd w:val="clear" w:color="auto" w:fill="auto"/>
            <w:vAlign w:val="center"/>
            <w:hideMark/>
          </w:tcPr>
          <w:p w14:paraId="76ADEF1C" w14:textId="6BE166CF" w:rsidR="00CE00AC" w:rsidRPr="00B150DC" w:rsidRDefault="00B150DC" w:rsidP="00B150DC">
            <w:pPr>
              <w:rPr>
                <w:rFonts w:asciiTheme="minorHAnsi" w:hAnsiTheme="minorHAnsi" w:cs="Arial"/>
                <w:color w:val="000000"/>
              </w:rPr>
            </w:pPr>
            <w:r w:rsidRPr="00B150DC">
              <w:rPr>
                <w:rFonts w:asciiTheme="minorHAnsi" w:hAnsiTheme="minorHAnsi" w:cs="Arial"/>
              </w:rPr>
              <w:t>Research shows that practicing or rehearsing how to speak up in advance increases our likelihood of raising concerns when they arise in the workplace and that is the focus of this course. As part of this course, you will begin to build ethical muscle memory and practice voicing your concerns through an approach called Giving Voice to Values (GVV).</w:t>
            </w:r>
          </w:p>
        </w:tc>
      </w:tr>
      <w:tr w:rsidR="00CE00AC" w:rsidRPr="00CE00AC" w14:paraId="538945BD" w14:textId="77777777" w:rsidTr="009056EA">
        <w:trPr>
          <w:trHeight w:val="1430"/>
        </w:trPr>
        <w:tc>
          <w:tcPr>
            <w:tcW w:w="2062" w:type="dxa"/>
            <w:shd w:val="clear" w:color="auto" w:fill="auto"/>
            <w:vAlign w:val="center"/>
            <w:hideMark/>
          </w:tcPr>
          <w:p w14:paraId="682BACB7" w14:textId="7AFFAE63" w:rsidR="00CE00AC" w:rsidRPr="00B150DC" w:rsidRDefault="00B150DC" w:rsidP="00CE00AC">
            <w:pPr>
              <w:rPr>
                <w:rFonts w:asciiTheme="minorHAnsi" w:hAnsiTheme="minorHAnsi" w:cs="Arial"/>
                <w:b/>
                <w:color w:val="000000"/>
              </w:rPr>
            </w:pPr>
            <w:r w:rsidRPr="00B150DC">
              <w:rPr>
                <w:rFonts w:asciiTheme="minorHAnsi" w:hAnsiTheme="minorHAnsi" w:cs="Arial"/>
                <w:b/>
              </w:rPr>
              <w:t>Disablers</w:t>
            </w:r>
          </w:p>
        </w:tc>
        <w:tc>
          <w:tcPr>
            <w:tcW w:w="7402" w:type="dxa"/>
            <w:shd w:val="clear" w:color="auto" w:fill="auto"/>
            <w:vAlign w:val="center"/>
            <w:hideMark/>
          </w:tcPr>
          <w:p w14:paraId="6E8DDDF7" w14:textId="33E5A769" w:rsidR="00CE00AC" w:rsidRPr="00B150DC" w:rsidRDefault="00B150DC" w:rsidP="00B150DC">
            <w:pPr>
              <w:rPr>
                <w:rFonts w:asciiTheme="minorHAnsi" w:hAnsiTheme="minorHAnsi" w:cs="Arial"/>
                <w:color w:val="000000"/>
              </w:rPr>
            </w:pPr>
            <w:r w:rsidRPr="00B150DC">
              <w:rPr>
                <w:rFonts w:asciiTheme="minorHAnsi" w:hAnsiTheme="minorHAnsi" w:cs="Arial"/>
              </w:rPr>
              <w:t>Individual and contextual levers that make it much harder.</w:t>
            </w:r>
          </w:p>
        </w:tc>
      </w:tr>
      <w:tr w:rsidR="00F323AE" w:rsidRPr="00CE00AC" w14:paraId="0178E9E1" w14:textId="77777777" w:rsidTr="009056EA">
        <w:trPr>
          <w:trHeight w:val="1430"/>
        </w:trPr>
        <w:tc>
          <w:tcPr>
            <w:tcW w:w="2062" w:type="dxa"/>
            <w:shd w:val="clear" w:color="auto" w:fill="auto"/>
            <w:vAlign w:val="center"/>
          </w:tcPr>
          <w:p w14:paraId="674FA4AD" w14:textId="236A693A" w:rsidR="00F323AE" w:rsidRPr="00B150DC" w:rsidRDefault="00B150DC" w:rsidP="00F323AE">
            <w:pPr>
              <w:rPr>
                <w:rFonts w:asciiTheme="minorHAnsi" w:hAnsiTheme="minorHAnsi" w:cs="Arial"/>
                <w:b/>
                <w:color w:val="000000"/>
              </w:rPr>
            </w:pPr>
            <w:r w:rsidRPr="00B150DC">
              <w:rPr>
                <w:rFonts w:asciiTheme="minorHAnsi" w:hAnsiTheme="minorHAnsi" w:cs="Arial"/>
                <w:b/>
              </w:rPr>
              <w:t>Enablers</w:t>
            </w:r>
          </w:p>
        </w:tc>
        <w:tc>
          <w:tcPr>
            <w:tcW w:w="7402" w:type="dxa"/>
            <w:vAlign w:val="center"/>
          </w:tcPr>
          <w:p w14:paraId="756D6998" w14:textId="3CF6EFE3" w:rsidR="00F323AE" w:rsidRPr="00B150DC" w:rsidRDefault="00B150DC" w:rsidP="00B150DC">
            <w:pPr>
              <w:rPr>
                <w:rFonts w:asciiTheme="minorHAnsi" w:hAnsiTheme="minorHAnsi" w:cs="Arial"/>
                <w:color w:val="000000"/>
              </w:rPr>
            </w:pPr>
            <w:r w:rsidRPr="00B150DC">
              <w:rPr>
                <w:rFonts w:asciiTheme="minorHAnsi" w:hAnsiTheme="minorHAnsi" w:cs="Arial"/>
              </w:rPr>
              <w:t>Strengths, communication styles, and external levers that help us act on our values even when it feels challenging.</w:t>
            </w:r>
          </w:p>
        </w:tc>
      </w:tr>
      <w:tr w:rsidR="0093475A" w:rsidRPr="00CE00AC" w14:paraId="759CA10E" w14:textId="77777777" w:rsidTr="009056EA">
        <w:trPr>
          <w:trHeight w:val="1430"/>
        </w:trPr>
        <w:tc>
          <w:tcPr>
            <w:tcW w:w="2062" w:type="dxa"/>
            <w:shd w:val="clear" w:color="auto" w:fill="auto"/>
            <w:vAlign w:val="center"/>
          </w:tcPr>
          <w:p w14:paraId="190FB767" w14:textId="0D5DD0CC" w:rsidR="0093475A" w:rsidRPr="0093475A" w:rsidRDefault="0093475A" w:rsidP="00F323AE">
            <w:pPr>
              <w:rPr>
                <w:rFonts w:asciiTheme="minorHAnsi" w:hAnsiTheme="minorHAnsi" w:cs="Arial"/>
                <w:b/>
              </w:rPr>
            </w:pPr>
            <w:r w:rsidRPr="0093475A">
              <w:rPr>
                <w:rFonts w:asciiTheme="minorHAnsi" w:hAnsiTheme="minorHAnsi" w:cs="Arial"/>
                <w:b/>
              </w:rPr>
              <w:t>Giving Voice to Values</w:t>
            </w:r>
          </w:p>
        </w:tc>
        <w:tc>
          <w:tcPr>
            <w:tcW w:w="7402" w:type="dxa"/>
            <w:vAlign w:val="center"/>
          </w:tcPr>
          <w:p w14:paraId="0AFBB6B3" w14:textId="131261BE" w:rsidR="0093475A" w:rsidRPr="0093475A" w:rsidRDefault="0093475A" w:rsidP="00B150DC">
            <w:pPr>
              <w:rPr>
                <w:rFonts w:asciiTheme="minorHAnsi" w:hAnsiTheme="minorHAnsi" w:cs="Arial"/>
              </w:rPr>
            </w:pPr>
            <w:r w:rsidRPr="0093475A">
              <w:rPr>
                <w:rFonts w:asciiTheme="minorHAnsi" w:hAnsiTheme="minorHAnsi" w:cs="Arial"/>
              </w:rPr>
              <w:t>Giving Voice to Values (GVV) is an evidence-based approach to ethics and integrity that builds ethical skills to help you to speak up when it matters most.</w:t>
            </w:r>
          </w:p>
        </w:tc>
      </w:tr>
      <w:tr w:rsidR="00F323AE" w:rsidRPr="00CE00AC" w14:paraId="15BBD39A" w14:textId="77777777" w:rsidTr="009056EA">
        <w:trPr>
          <w:trHeight w:val="1520"/>
        </w:trPr>
        <w:tc>
          <w:tcPr>
            <w:tcW w:w="2062" w:type="dxa"/>
            <w:shd w:val="clear" w:color="auto" w:fill="auto"/>
            <w:vAlign w:val="center"/>
          </w:tcPr>
          <w:p w14:paraId="54454AFC" w14:textId="6927F0B0" w:rsidR="00F323AE" w:rsidRPr="00B150DC" w:rsidRDefault="00B150DC" w:rsidP="00F323AE">
            <w:pPr>
              <w:rPr>
                <w:rFonts w:asciiTheme="minorHAnsi" w:hAnsiTheme="minorHAnsi" w:cs="Arial"/>
                <w:b/>
              </w:rPr>
            </w:pPr>
            <w:r w:rsidRPr="00B150DC">
              <w:rPr>
                <w:rFonts w:asciiTheme="minorHAnsi" w:hAnsiTheme="minorHAnsi" w:cs="Arial"/>
                <w:b/>
              </w:rPr>
              <w:t>KPMG’s commitment to Purpose</w:t>
            </w:r>
          </w:p>
        </w:tc>
        <w:tc>
          <w:tcPr>
            <w:tcW w:w="7402" w:type="dxa"/>
            <w:vAlign w:val="center"/>
          </w:tcPr>
          <w:p w14:paraId="23FDC402" w14:textId="77777777" w:rsidR="00B150DC" w:rsidRPr="00B150DC" w:rsidRDefault="00B150DC" w:rsidP="00B150DC">
            <w:pPr>
              <w:rPr>
                <w:rFonts w:asciiTheme="minorHAnsi" w:hAnsiTheme="minorHAnsi" w:cs="Arial"/>
              </w:rPr>
            </w:pPr>
            <w:r w:rsidRPr="00B150DC">
              <w:rPr>
                <w:rFonts w:asciiTheme="minorHAnsi" w:hAnsiTheme="minorHAnsi" w:cs="Arial"/>
              </w:rPr>
              <w:t>Our people lack clarity with, and connection to, the firm’s purpose.</w:t>
            </w:r>
          </w:p>
          <w:p w14:paraId="37A61F32" w14:textId="77777777" w:rsidR="00B150DC" w:rsidRPr="00B150DC" w:rsidRDefault="00B150DC" w:rsidP="00B150DC">
            <w:pPr>
              <w:rPr>
                <w:rFonts w:asciiTheme="minorHAnsi" w:hAnsiTheme="minorHAnsi" w:cs="Arial"/>
              </w:rPr>
            </w:pPr>
          </w:p>
          <w:p w14:paraId="0A9BCAB2" w14:textId="7B07A57D" w:rsidR="00F323AE" w:rsidRPr="00B150DC" w:rsidRDefault="00B150DC" w:rsidP="00B150DC">
            <w:pPr>
              <w:rPr>
                <w:rFonts w:cs="Arial"/>
              </w:rPr>
            </w:pPr>
            <w:r w:rsidRPr="00B150DC">
              <w:rPr>
                <w:rFonts w:asciiTheme="minorHAnsi" w:hAnsiTheme="minorHAnsi" w:cs="Arial"/>
                <w:b/>
                <w:bCs/>
              </w:rPr>
              <w:t xml:space="preserve">We will: </w:t>
            </w:r>
            <w:r w:rsidRPr="00B150DC">
              <w:rPr>
                <w:rFonts w:asciiTheme="minorHAnsi" w:hAnsiTheme="minorHAnsi" w:cs="Arial"/>
              </w:rPr>
              <w:t>Clearly articulate KPMG’s purpose so that we drive clarity, consistency, and engagement in everyone’s work at the firm.</w:t>
            </w:r>
            <w:r w:rsidR="00F323AE" w:rsidRPr="00B150DC">
              <w:rPr>
                <w:rFonts w:cs="Arial"/>
              </w:rPr>
              <w:t xml:space="preserve"> </w:t>
            </w:r>
          </w:p>
        </w:tc>
      </w:tr>
      <w:tr w:rsidR="00F323AE" w:rsidRPr="00CE00AC" w14:paraId="45DDA3BA" w14:textId="77777777" w:rsidTr="009056EA">
        <w:trPr>
          <w:trHeight w:val="1610"/>
        </w:trPr>
        <w:tc>
          <w:tcPr>
            <w:tcW w:w="2062" w:type="dxa"/>
            <w:shd w:val="clear" w:color="auto" w:fill="auto"/>
            <w:vAlign w:val="center"/>
            <w:hideMark/>
          </w:tcPr>
          <w:p w14:paraId="61B17E1E" w14:textId="74CAF30E" w:rsidR="00F323AE" w:rsidRPr="00B150DC" w:rsidRDefault="00B150DC" w:rsidP="00F323AE">
            <w:pPr>
              <w:rPr>
                <w:rFonts w:asciiTheme="minorHAnsi" w:hAnsiTheme="minorHAnsi" w:cs="Arial"/>
                <w:b/>
                <w:color w:val="000000"/>
              </w:rPr>
            </w:pPr>
            <w:r w:rsidRPr="00B150DC">
              <w:rPr>
                <w:rFonts w:asciiTheme="minorHAnsi" w:hAnsiTheme="minorHAnsi" w:cs="Arial"/>
                <w:b/>
              </w:rPr>
              <w:t>KPMG’s commitment to Values</w:t>
            </w:r>
          </w:p>
        </w:tc>
        <w:tc>
          <w:tcPr>
            <w:tcW w:w="7402" w:type="dxa"/>
            <w:shd w:val="clear" w:color="auto" w:fill="auto"/>
            <w:vAlign w:val="center"/>
            <w:hideMark/>
          </w:tcPr>
          <w:p w14:paraId="13D3477A" w14:textId="77777777" w:rsidR="00B150DC" w:rsidRPr="00B150DC" w:rsidRDefault="00B150DC" w:rsidP="00B150DC">
            <w:pPr>
              <w:rPr>
                <w:rFonts w:asciiTheme="minorHAnsi" w:hAnsiTheme="minorHAnsi" w:cs="Arial"/>
              </w:rPr>
            </w:pPr>
            <w:r w:rsidRPr="00B150DC">
              <w:rPr>
                <w:rFonts w:asciiTheme="minorHAnsi" w:hAnsiTheme="minorHAnsi" w:cs="Arial"/>
              </w:rPr>
              <w:t xml:space="preserve">Our Values are not fully understood in the context of the day-to-day. </w:t>
            </w:r>
          </w:p>
          <w:p w14:paraId="17496BC3" w14:textId="77777777" w:rsidR="00F323AE" w:rsidRPr="00B150DC" w:rsidRDefault="00F323AE" w:rsidP="00B150DC">
            <w:pPr>
              <w:rPr>
                <w:rFonts w:asciiTheme="minorHAnsi" w:hAnsiTheme="minorHAnsi" w:cs="Arial"/>
                <w:color w:val="000000"/>
              </w:rPr>
            </w:pPr>
          </w:p>
          <w:p w14:paraId="71402BCF" w14:textId="76B7DAE6" w:rsidR="00B150DC" w:rsidRPr="00B150DC" w:rsidRDefault="00B150DC" w:rsidP="00B150DC">
            <w:pPr>
              <w:rPr>
                <w:rFonts w:asciiTheme="minorHAnsi" w:hAnsiTheme="minorHAnsi" w:cs="Arial"/>
                <w:color w:val="000000"/>
              </w:rPr>
            </w:pPr>
            <w:r w:rsidRPr="00B150DC">
              <w:rPr>
                <w:rFonts w:asciiTheme="minorHAnsi" w:hAnsiTheme="minorHAnsi" w:cs="Arial"/>
                <w:b/>
                <w:bCs/>
              </w:rPr>
              <w:t xml:space="preserve">We will: </w:t>
            </w:r>
            <w:r w:rsidRPr="00B150DC">
              <w:rPr>
                <w:rFonts w:asciiTheme="minorHAnsi" w:hAnsiTheme="minorHAnsi" w:cs="Arial"/>
              </w:rPr>
              <w:t>Integrate KPMG’s Values more clearly into our strategy and day-to-day decisions and actions.</w:t>
            </w:r>
          </w:p>
        </w:tc>
      </w:tr>
      <w:tr w:rsidR="00F323AE" w:rsidRPr="00CE00AC" w14:paraId="39D7E97E" w14:textId="77777777" w:rsidTr="009056EA">
        <w:trPr>
          <w:trHeight w:val="1610"/>
        </w:trPr>
        <w:tc>
          <w:tcPr>
            <w:tcW w:w="2062" w:type="dxa"/>
            <w:shd w:val="clear" w:color="auto" w:fill="auto"/>
            <w:vAlign w:val="center"/>
          </w:tcPr>
          <w:p w14:paraId="69BCC40B" w14:textId="6AFB309F" w:rsidR="00F323AE" w:rsidRPr="00B150DC" w:rsidRDefault="00B150DC" w:rsidP="00F323AE">
            <w:pPr>
              <w:rPr>
                <w:rFonts w:asciiTheme="minorHAnsi" w:hAnsiTheme="minorHAnsi" w:cs="Arial"/>
                <w:b/>
                <w:color w:val="000000"/>
              </w:rPr>
            </w:pPr>
            <w:r w:rsidRPr="00B150DC">
              <w:rPr>
                <w:rFonts w:asciiTheme="minorHAnsi" w:hAnsiTheme="minorHAnsi" w:cs="Arial"/>
                <w:b/>
              </w:rPr>
              <w:t>KPMG’s commitment to Culture</w:t>
            </w:r>
          </w:p>
        </w:tc>
        <w:tc>
          <w:tcPr>
            <w:tcW w:w="7402" w:type="dxa"/>
            <w:shd w:val="clear" w:color="auto" w:fill="auto"/>
            <w:vAlign w:val="center"/>
          </w:tcPr>
          <w:p w14:paraId="06E13B5C" w14:textId="77777777" w:rsidR="00B150DC" w:rsidRPr="00B150DC" w:rsidRDefault="00B150DC" w:rsidP="00B150DC">
            <w:pPr>
              <w:rPr>
                <w:rFonts w:asciiTheme="minorHAnsi" w:hAnsiTheme="minorHAnsi" w:cs="Arial"/>
              </w:rPr>
            </w:pPr>
            <w:r w:rsidRPr="00B150DC">
              <w:rPr>
                <w:rFonts w:asciiTheme="minorHAnsi" w:hAnsiTheme="minorHAnsi" w:cs="Arial"/>
              </w:rPr>
              <w:t xml:space="preserve">Culture and Values are important to everyone and key to our long-term success. </w:t>
            </w:r>
          </w:p>
          <w:p w14:paraId="09AEEBD4" w14:textId="77777777" w:rsidR="00B150DC" w:rsidRPr="00B150DC" w:rsidRDefault="00B150DC" w:rsidP="00B150DC">
            <w:pPr>
              <w:rPr>
                <w:rFonts w:asciiTheme="minorHAnsi" w:hAnsiTheme="minorHAnsi" w:cs="Arial"/>
              </w:rPr>
            </w:pPr>
          </w:p>
          <w:p w14:paraId="24A82892" w14:textId="77777777" w:rsidR="00B150DC" w:rsidRPr="00B150DC" w:rsidRDefault="00B150DC" w:rsidP="00B150DC">
            <w:pPr>
              <w:rPr>
                <w:rFonts w:asciiTheme="minorHAnsi" w:hAnsiTheme="minorHAnsi" w:cs="Arial"/>
                <w:b/>
              </w:rPr>
            </w:pPr>
            <w:r w:rsidRPr="00B150DC">
              <w:rPr>
                <w:rFonts w:asciiTheme="minorHAnsi" w:hAnsiTheme="minorHAnsi" w:cs="Arial"/>
                <w:b/>
              </w:rPr>
              <w:t xml:space="preserve">We will: </w:t>
            </w:r>
            <w:r w:rsidRPr="00B150DC">
              <w:rPr>
                <w:rFonts w:asciiTheme="minorHAnsi" w:hAnsiTheme="minorHAnsi" w:cs="Arial"/>
              </w:rPr>
              <w:t xml:space="preserve">Establish a long-term sustainable culture to embed desired attributes in all aspects of our organization. </w:t>
            </w:r>
          </w:p>
          <w:p w14:paraId="09B9D974" w14:textId="1DC61DC4" w:rsidR="00F323AE" w:rsidRPr="00B150DC" w:rsidRDefault="00245780" w:rsidP="00B150DC">
            <w:pPr>
              <w:rPr>
                <w:rFonts w:asciiTheme="minorHAnsi" w:hAnsiTheme="minorHAnsi" w:cs="Arial"/>
              </w:rPr>
            </w:pPr>
            <w:r w:rsidRPr="00B150DC">
              <w:rPr>
                <w:rFonts w:asciiTheme="minorHAnsi" w:hAnsiTheme="minorHAnsi" w:cs="Arial"/>
              </w:rPr>
              <w:t xml:space="preserve"> </w:t>
            </w:r>
          </w:p>
        </w:tc>
      </w:tr>
      <w:tr w:rsidR="00245780" w:rsidRPr="00CE00AC" w14:paraId="1D002B95" w14:textId="77777777" w:rsidTr="009056EA">
        <w:trPr>
          <w:trHeight w:val="1142"/>
        </w:trPr>
        <w:tc>
          <w:tcPr>
            <w:tcW w:w="2062" w:type="dxa"/>
            <w:shd w:val="clear" w:color="auto" w:fill="auto"/>
            <w:vAlign w:val="center"/>
          </w:tcPr>
          <w:p w14:paraId="65339345" w14:textId="568BAB23" w:rsidR="00245780" w:rsidRPr="00B150DC" w:rsidRDefault="00B150DC" w:rsidP="00F323AE">
            <w:pPr>
              <w:rPr>
                <w:rFonts w:asciiTheme="minorHAnsi" w:hAnsiTheme="minorHAnsi" w:cs="Arial"/>
                <w:b/>
              </w:rPr>
            </w:pPr>
            <w:r w:rsidRPr="00B150DC">
              <w:rPr>
                <w:rFonts w:asciiTheme="minorHAnsi" w:hAnsiTheme="minorHAnsi" w:cs="Arial"/>
                <w:b/>
              </w:rPr>
              <w:t xml:space="preserve">KPMG’s commitment to Rewards </w:t>
            </w:r>
          </w:p>
        </w:tc>
        <w:tc>
          <w:tcPr>
            <w:tcW w:w="7402" w:type="dxa"/>
            <w:shd w:val="clear" w:color="auto" w:fill="auto"/>
            <w:vAlign w:val="center"/>
          </w:tcPr>
          <w:p w14:paraId="498E4D55" w14:textId="77777777" w:rsidR="00B150DC" w:rsidRPr="00B150DC" w:rsidRDefault="00B150DC" w:rsidP="00B150DC">
            <w:pPr>
              <w:rPr>
                <w:rFonts w:asciiTheme="minorHAnsi" w:hAnsiTheme="minorHAnsi" w:cs="Arial"/>
              </w:rPr>
            </w:pPr>
            <w:r w:rsidRPr="00B150DC">
              <w:rPr>
                <w:rFonts w:asciiTheme="minorHAnsi" w:hAnsiTheme="minorHAnsi" w:cs="Arial"/>
              </w:rPr>
              <w:t>There is a perception that our Values do not inform performance and promotion discussions.</w:t>
            </w:r>
          </w:p>
          <w:p w14:paraId="73398274" w14:textId="77777777" w:rsidR="00B150DC" w:rsidRPr="00B150DC" w:rsidRDefault="00B150DC" w:rsidP="00B150DC">
            <w:pPr>
              <w:rPr>
                <w:rFonts w:asciiTheme="minorHAnsi" w:hAnsiTheme="minorHAnsi" w:cs="Arial"/>
                <w:highlight w:val="lightGray"/>
              </w:rPr>
            </w:pPr>
          </w:p>
          <w:p w14:paraId="06A5AD90" w14:textId="004E8E69" w:rsidR="00245780" w:rsidRPr="00B150DC" w:rsidRDefault="00B150DC" w:rsidP="00B150DC">
            <w:pPr>
              <w:rPr>
                <w:rFonts w:asciiTheme="minorHAnsi" w:hAnsiTheme="minorHAnsi" w:cs="Arial"/>
              </w:rPr>
            </w:pPr>
            <w:r w:rsidRPr="00B150DC">
              <w:rPr>
                <w:rFonts w:asciiTheme="minorHAnsi" w:hAnsiTheme="minorHAnsi" w:cs="Arial"/>
                <w:b/>
              </w:rPr>
              <w:t>We will:</w:t>
            </w:r>
            <w:r w:rsidRPr="00B150DC">
              <w:rPr>
                <w:rFonts w:asciiTheme="minorHAnsi" w:hAnsiTheme="minorHAnsi" w:cs="Arial"/>
              </w:rPr>
              <w:t xml:space="preserve"> Better align ethical and cultural expectations with assessment and rewards.</w:t>
            </w:r>
          </w:p>
        </w:tc>
      </w:tr>
      <w:tr w:rsidR="00882420" w:rsidRPr="00CE00AC" w14:paraId="09E54CA9" w14:textId="77777777" w:rsidTr="009056EA">
        <w:trPr>
          <w:trHeight w:val="938"/>
        </w:trPr>
        <w:tc>
          <w:tcPr>
            <w:tcW w:w="2062" w:type="dxa"/>
            <w:shd w:val="clear" w:color="auto" w:fill="auto"/>
            <w:vAlign w:val="center"/>
          </w:tcPr>
          <w:p w14:paraId="51BE9B49" w14:textId="5A403C55" w:rsidR="00882420" w:rsidRPr="00B150DC" w:rsidRDefault="00B150DC" w:rsidP="00882420">
            <w:pPr>
              <w:rPr>
                <w:rFonts w:asciiTheme="minorHAnsi" w:hAnsiTheme="minorHAnsi" w:cs="Arial"/>
                <w:b/>
              </w:rPr>
            </w:pPr>
            <w:r w:rsidRPr="00B150DC">
              <w:rPr>
                <w:rFonts w:asciiTheme="minorHAnsi" w:hAnsiTheme="minorHAnsi" w:cs="Arial"/>
                <w:b/>
              </w:rPr>
              <w:t>KPMG’s commitment to Compliance</w:t>
            </w:r>
          </w:p>
        </w:tc>
        <w:tc>
          <w:tcPr>
            <w:tcW w:w="7402" w:type="dxa"/>
            <w:shd w:val="clear" w:color="auto" w:fill="auto"/>
          </w:tcPr>
          <w:p w14:paraId="4F3F5C66" w14:textId="77777777" w:rsidR="00B150DC" w:rsidRPr="00B150DC" w:rsidRDefault="00B150DC" w:rsidP="00B150DC">
            <w:pPr>
              <w:rPr>
                <w:rFonts w:asciiTheme="minorHAnsi" w:hAnsiTheme="minorHAnsi" w:cs="Arial"/>
              </w:rPr>
            </w:pPr>
            <w:r w:rsidRPr="00B150DC">
              <w:rPr>
                <w:rFonts w:asciiTheme="minorHAnsi" w:hAnsiTheme="minorHAnsi" w:cs="Arial"/>
              </w:rPr>
              <w:t>Our response to issues is perceived as inconsistent and not transparent.</w:t>
            </w:r>
          </w:p>
          <w:p w14:paraId="4CC8A3E0" w14:textId="77777777" w:rsidR="00B150DC" w:rsidRPr="00B150DC" w:rsidRDefault="00B150DC" w:rsidP="00B150DC">
            <w:pPr>
              <w:rPr>
                <w:rFonts w:asciiTheme="minorHAnsi" w:hAnsiTheme="minorHAnsi" w:cs="Arial"/>
                <w:b/>
                <w:bCs/>
              </w:rPr>
            </w:pPr>
          </w:p>
          <w:p w14:paraId="18582DE4" w14:textId="484394A7" w:rsidR="00882420" w:rsidRPr="00B150DC" w:rsidRDefault="00B150DC" w:rsidP="00B150DC">
            <w:pPr>
              <w:rPr>
                <w:rFonts w:asciiTheme="minorHAnsi" w:hAnsiTheme="minorHAnsi" w:cs="Arial"/>
              </w:rPr>
            </w:pPr>
            <w:r w:rsidRPr="00B150DC">
              <w:rPr>
                <w:rFonts w:asciiTheme="minorHAnsi" w:hAnsiTheme="minorHAnsi" w:cs="Arial"/>
                <w:b/>
                <w:bCs/>
              </w:rPr>
              <w:t xml:space="preserve">We will: </w:t>
            </w:r>
            <w:r w:rsidRPr="00B150DC">
              <w:rPr>
                <w:rFonts w:asciiTheme="minorHAnsi" w:hAnsiTheme="minorHAnsi" w:cs="Arial"/>
              </w:rPr>
              <w:t>Evolve our compliance program and strengthen transparency.</w:t>
            </w:r>
          </w:p>
        </w:tc>
      </w:tr>
      <w:tr w:rsidR="0093475A" w:rsidRPr="00CE00AC" w14:paraId="0F1BE7E9" w14:textId="77777777" w:rsidTr="009056EA">
        <w:trPr>
          <w:trHeight w:val="938"/>
        </w:trPr>
        <w:tc>
          <w:tcPr>
            <w:tcW w:w="2062" w:type="dxa"/>
            <w:shd w:val="clear" w:color="auto" w:fill="auto"/>
            <w:vAlign w:val="center"/>
          </w:tcPr>
          <w:p w14:paraId="61E393D0" w14:textId="513463A8" w:rsidR="0093475A" w:rsidRPr="0093475A" w:rsidRDefault="0093475A" w:rsidP="00882420">
            <w:pPr>
              <w:rPr>
                <w:rFonts w:asciiTheme="minorHAnsi" w:hAnsiTheme="minorHAnsi" w:cs="Arial"/>
                <w:b/>
              </w:rPr>
            </w:pPr>
            <w:r w:rsidRPr="0093475A">
              <w:rPr>
                <w:rFonts w:asciiTheme="minorHAnsi" w:hAnsiTheme="minorHAnsi" w:cs="Arial"/>
                <w:b/>
              </w:rPr>
              <w:t>KPMG’s commitment to Governance</w:t>
            </w:r>
          </w:p>
        </w:tc>
        <w:tc>
          <w:tcPr>
            <w:tcW w:w="7402" w:type="dxa"/>
            <w:shd w:val="clear" w:color="auto" w:fill="auto"/>
          </w:tcPr>
          <w:p w14:paraId="032FC06B" w14:textId="77777777" w:rsidR="0093475A" w:rsidRPr="0093475A" w:rsidRDefault="0093475A" w:rsidP="0093475A">
            <w:pPr>
              <w:rPr>
                <w:rFonts w:asciiTheme="minorHAnsi" w:hAnsiTheme="minorHAnsi" w:cs="Arial"/>
              </w:rPr>
            </w:pPr>
            <w:r w:rsidRPr="0093475A">
              <w:rPr>
                <w:rFonts w:asciiTheme="minorHAnsi" w:hAnsiTheme="minorHAnsi" w:cs="Arial"/>
              </w:rPr>
              <w:t>Our board can take a more active role across KPMG.</w:t>
            </w:r>
          </w:p>
          <w:p w14:paraId="59F577DA" w14:textId="77777777" w:rsidR="0093475A" w:rsidRPr="0093475A" w:rsidRDefault="0093475A" w:rsidP="0093475A">
            <w:pPr>
              <w:rPr>
                <w:rFonts w:asciiTheme="minorHAnsi" w:hAnsiTheme="minorHAnsi" w:cs="Arial"/>
              </w:rPr>
            </w:pPr>
          </w:p>
          <w:p w14:paraId="3903BBC4" w14:textId="77777777" w:rsidR="0093475A" w:rsidRPr="0093475A" w:rsidRDefault="0093475A" w:rsidP="0093475A">
            <w:pPr>
              <w:rPr>
                <w:rFonts w:asciiTheme="minorHAnsi" w:hAnsiTheme="minorHAnsi" w:cs="Arial"/>
              </w:rPr>
            </w:pPr>
            <w:r w:rsidRPr="0093475A">
              <w:rPr>
                <w:rFonts w:asciiTheme="minorHAnsi" w:hAnsiTheme="minorHAnsi" w:cs="Arial"/>
                <w:b/>
              </w:rPr>
              <w:t xml:space="preserve">We will: </w:t>
            </w:r>
            <w:r w:rsidRPr="0093475A">
              <w:rPr>
                <w:rFonts w:asciiTheme="minorHAnsi" w:hAnsiTheme="minorHAnsi" w:cs="Arial"/>
              </w:rPr>
              <w:t xml:space="preserve">Review the board’s role and expectations to take full advantage of the board and its expertise. </w:t>
            </w:r>
          </w:p>
          <w:p w14:paraId="72AA6CC6" w14:textId="77777777" w:rsidR="0093475A" w:rsidRPr="0093475A" w:rsidRDefault="0093475A" w:rsidP="00B150DC">
            <w:pPr>
              <w:rPr>
                <w:rFonts w:asciiTheme="minorHAnsi" w:hAnsiTheme="minorHAnsi" w:cs="Arial"/>
              </w:rPr>
            </w:pPr>
          </w:p>
        </w:tc>
      </w:tr>
      <w:tr w:rsidR="00B150DC" w:rsidRPr="00CE00AC" w14:paraId="2BD9AA7F" w14:textId="77777777" w:rsidTr="009056EA">
        <w:trPr>
          <w:trHeight w:val="938"/>
        </w:trPr>
        <w:tc>
          <w:tcPr>
            <w:tcW w:w="2062" w:type="dxa"/>
            <w:shd w:val="clear" w:color="auto" w:fill="auto"/>
            <w:vAlign w:val="center"/>
          </w:tcPr>
          <w:p w14:paraId="2717E2AE" w14:textId="2D459B77" w:rsidR="00B150DC" w:rsidRPr="00B150DC" w:rsidRDefault="00B150DC" w:rsidP="00882420">
            <w:pPr>
              <w:rPr>
                <w:rFonts w:asciiTheme="minorHAnsi" w:hAnsiTheme="minorHAnsi" w:cs="Arial"/>
                <w:b/>
              </w:rPr>
            </w:pPr>
            <w:r w:rsidRPr="00B150DC">
              <w:rPr>
                <w:rFonts w:asciiTheme="minorHAnsi" w:hAnsiTheme="minorHAnsi" w:cs="Arial"/>
                <w:b/>
              </w:rPr>
              <w:t>KPMG’s commitment to Candor</w:t>
            </w:r>
          </w:p>
        </w:tc>
        <w:tc>
          <w:tcPr>
            <w:tcW w:w="7402" w:type="dxa"/>
            <w:shd w:val="clear" w:color="auto" w:fill="auto"/>
          </w:tcPr>
          <w:p w14:paraId="06EEB6DC" w14:textId="77777777" w:rsidR="00B150DC" w:rsidRPr="00B150DC" w:rsidRDefault="00B150DC" w:rsidP="00B150DC">
            <w:pPr>
              <w:rPr>
                <w:rFonts w:asciiTheme="minorHAnsi" w:hAnsiTheme="minorHAnsi" w:cs="Arial"/>
              </w:rPr>
            </w:pPr>
            <w:r w:rsidRPr="00B150DC">
              <w:rPr>
                <w:rFonts w:asciiTheme="minorHAnsi" w:hAnsiTheme="minorHAnsi" w:cs="Arial"/>
              </w:rPr>
              <w:t>There is a reluctance to speak up, challenge, and provide divergent perspectives.</w:t>
            </w:r>
          </w:p>
          <w:p w14:paraId="0EE9B911" w14:textId="77777777" w:rsidR="00B150DC" w:rsidRPr="00B150DC" w:rsidRDefault="00B150DC" w:rsidP="00B150DC">
            <w:pPr>
              <w:rPr>
                <w:rFonts w:asciiTheme="minorHAnsi" w:hAnsiTheme="minorHAnsi" w:cs="Arial"/>
                <w:b/>
                <w:bCs/>
              </w:rPr>
            </w:pPr>
          </w:p>
          <w:p w14:paraId="5A5FE4CE" w14:textId="376D7BEC" w:rsidR="00B150DC" w:rsidRPr="00B150DC" w:rsidRDefault="00B150DC" w:rsidP="00B150DC">
            <w:pPr>
              <w:rPr>
                <w:rFonts w:asciiTheme="minorHAnsi" w:hAnsiTheme="minorHAnsi" w:cs="Arial"/>
              </w:rPr>
            </w:pPr>
            <w:r w:rsidRPr="00B150DC">
              <w:rPr>
                <w:rFonts w:asciiTheme="minorHAnsi" w:hAnsiTheme="minorHAnsi" w:cs="Arial"/>
                <w:b/>
                <w:bCs/>
              </w:rPr>
              <w:t xml:space="preserve">We will: </w:t>
            </w:r>
            <w:r w:rsidRPr="00B150DC">
              <w:rPr>
                <w:rFonts w:asciiTheme="minorHAnsi" w:hAnsiTheme="minorHAnsi" w:cs="Arial"/>
              </w:rPr>
              <w:t>Foster an environment where constructive challenge is highly valued.</w:t>
            </w:r>
          </w:p>
        </w:tc>
      </w:tr>
      <w:tr w:rsidR="00B150DC" w:rsidRPr="00CE00AC" w14:paraId="52A441ED" w14:textId="77777777" w:rsidTr="009056EA">
        <w:trPr>
          <w:trHeight w:val="938"/>
        </w:trPr>
        <w:tc>
          <w:tcPr>
            <w:tcW w:w="2062" w:type="dxa"/>
            <w:shd w:val="clear" w:color="auto" w:fill="auto"/>
            <w:vAlign w:val="center"/>
          </w:tcPr>
          <w:p w14:paraId="568FD3AE" w14:textId="28025EAF" w:rsidR="00B150DC" w:rsidRPr="00B150DC" w:rsidRDefault="00B150DC" w:rsidP="00882420">
            <w:pPr>
              <w:rPr>
                <w:rFonts w:asciiTheme="minorHAnsi" w:hAnsiTheme="minorHAnsi" w:cs="Arial"/>
                <w:b/>
              </w:rPr>
            </w:pPr>
            <w:r w:rsidRPr="00B150DC">
              <w:rPr>
                <w:rFonts w:asciiTheme="minorHAnsi" w:hAnsiTheme="minorHAnsi" w:cs="Arial"/>
                <w:b/>
              </w:rPr>
              <w:t>KPMG’s commitment to Environment</w:t>
            </w:r>
          </w:p>
        </w:tc>
        <w:tc>
          <w:tcPr>
            <w:tcW w:w="7402" w:type="dxa"/>
            <w:shd w:val="clear" w:color="auto" w:fill="auto"/>
          </w:tcPr>
          <w:p w14:paraId="4931F161" w14:textId="77777777" w:rsidR="00B150DC" w:rsidRPr="00B150DC" w:rsidRDefault="00B150DC" w:rsidP="00B150DC">
            <w:pPr>
              <w:rPr>
                <w:rFonts w:asciiTheme="minorHAnsi" w:hAnsiTheme="minorHAnsi" w:cs="Arial"/>
              </w:rPr>
            </w:pPr>
            <w:r w:rsidRPr="00B150DC">
              <w:rPr>
                <w:rFonts w:asciiTheme="minorHAnsi" w:hAnsiTheme="minorHAnsi" w:cs="Arial"/>
              </w:rPr>
              <w:t>KPMG’s high-pressure environment can create vulnerabilities.</w:t>
            </w:r>
          </w:p>
          <w:p w14:paraId="1C05F122" w14:textId="77777777" w:rsidR="00B150DC" w:rsidRPr="00B150DC" w:rsidRDefault="00B150DC" w:rsidP="00B150DC">
            <w:pPr>
              <w:rPr>
                <w:rFonts w:asciiTheme="minorHAnsi" w:hAnsiTheme="minorHAnsi" w:cs="Arial"/>
                <w:b/>
                <w:bCs/>
              </w:rPr>
            </w:pPr>
          </w:p>
          <w:p w14:paraId="66B897CB" w14:textId="2B005622" w:rsidR="00B150DC" w:rsidRPr="00B150DC" w:rsidRDefault="00B150DC" w:rsidP="00B150DC">
            <w:pPr>
              <w:rPr>
                <w:rFonts w:asciiTheme="minorHAnsi" w:hAnsiTheme="minorHAnsi" w:cs="Arial"/>
              </w:rPr>
            </w:pPr>
            <w:r w:rsidRPr="00B150DC">
              <w:rPr>
                <w:rFonts w:asciiTheme="minorHAnsi" w:hAnsiTheme="minorHAnsi" w:cs="Arial"/>
                <w:b/>
                <w:bCs/>
              </w:rPr>
              <w:t xml:space="preserve">We will: </w:t>
            </w:r>
            <w:r w:rsidRPr="00B150DC">
              <w:rPr>
                <w:rFonts w:asciiTheme="minorHAnsi" w:hAnsiTheme="minorHAnsi" w:cs="Arial"/>
              </w:rPr>
              <w:t>Equip our people to openly discuss and navigate pressures together.</w:t>
            </w:r>
          </w:p>
        </w:tc>
      </w:tr>
      <w:tr w:rsidR="00B150DC" w:rsidRPr="00CE00AC" w14:paraId="00650D8A" w14:textId="77777777" w:rsidTr="009056EA">
        <w:trPr>
          <w:trHeight w:val="938"/>
        </w:trPr>
        <w:tc>
          <w:tcPr>
            <w:tcW w:w="2062" w:type="dxa"/>
            <w:shd w:val="clear" w:color="auto" w:fill="auto"/>
            <w:vAlign w:val="center"/>
          </w:tcPr>
          <w:p w14:paraId="4C2078C3" w14:textId="5DEC0FED" w:rsidR="00B150DC" w:rsidRPr="00B150DC" w:rsidRDefault="00B150DC" w:rsidP="00882420">
            <w:pPr>
              <w:rPr>
                <w:rFonts w:asciiTheme="minorHAnsi" w:hAnsiTheme="minorHAnsi" w:cs="Arial"/>
                <w:b/>
              </w:rPr>
            </w:pPr>
            <w:r w:rsidRPr="00B150DC">
              <w:rPr>
                <w:rFonts w:asciiTheme="minorHAnsi" w:hAnsiTheme="minorHAnsi" w:cs="Arial"/>
                <w:b/>
              </w:rPr>
              <w:t>KPMG’s commitment to Accountability</w:t>
            </w:r>
          </w:p>
        </w:tc>
        <w:tc>
          <w:tcPr>
            <w:tcW w:w="7402" w:type="dxa"/>
            <w:shd w:val="clear" w:color="auto" w:fill="auto"/>
          </w:tcPr>
          <w:p w14:paraId="51A625DB" w14:textId="77777777" w:rsidR="00B150DC" w:rsidRPr="00B150DC" w:rsidRDefault="00B150DC" w:rsidP="00B150DC">
            <w:pPr>
              <w:rPr>
                <w:rFonts w:asciiTheme="minorHAnsi" w:hAnsiTheme="minorHAnsi" w:cs="Arial"/>
              </w:rPr>
            </w:pPr>
            <w:r w:rsidRPr="00B150DC">
              <w:rPr>
                <w:rFonts w:asciiTheme="minorHAnsi" w:hAnsiTheme="minorHAnsi" w:cs="Arial"/>
              </w:rPr>
              <w:t>Leaders vary in the way they model our Values and can also be more accessible.</w:t>
            </w:r>
          </w:p>
          <w:p w14:paraId="6E071FFE" w14:textId="77777777" w:rsidR="00B150DC" w:rsidRPr="00B150DC" w:rsidRDefault="00B150DC" w:rsidP="00B150DC">
            <w:pPr>
              <w:rPr>
                <w:rFonts w:asciiTheme="minorHAnsi" w:hAnsiTheme="minorHAnsi" w:cs="Arial"/>
                <w:b/>
                <w:bCs/>
              </w:rPr>
            </w:pPr>
          </w:p>
          <w:p w14:paraId="14C5B95E" w14:textId="22634085" w:rsidR="00B150DC" w:rsidRPr="00B150DC" w:rsidRDefault="00B150DC" w:rsidP="00B150DC">
            <w:pPr>
              <w:rPr>
                <w:rFonts w:asciiTheme="minorHAnsi" w:hAnsiTheme="minorHAnsi" w:cs="Arial"/>
              </w:rPr>
            </w:pPr>
            <w:r w:rsidRPr="00B150DC">
              <w:rPr>
                <w:rFonts w:asciiTheme="minorHAnsi" w:hAnsiTheme="minorHAnsi" w:cs="Arial"/>
                <w:b/>
                <w:bCs/>
              </w:rPr>
              <w:t xml:space="preserve">We will: </w:t>
            </w:r>
            <w:r w:rsidRPr="00B150DC">
              <w:rPr>
                <w:rFonts w:asciiTheme="minorHAnsi" w:hAnsiTheme="minorHAnsi" w:cs="Arial"/>
              </w:rPr>
              <w:t>Equip our leaders with clear Values-based standards and hold them accountable.</w:t>
            </w:r>
          </w:p>
        </w:tc>
      </w:tr>
      <w:tr w:rsidR="00B150DC" w:rsidRPr="00CE00AC" w14:paraId="4E5CEC8F" w14:textId="77777777" w:rsidTr="009056EA">
        <w:trPr>
          <w:trHeight w:val="938"/>
        </w:trPr>
        <w:tc>
          <w:tcPr>
            <w:tcW w:w="2062" w:type="dxa"/>
            <w:shd w:val="clear" w:color="auto" w:fill="auto"/>
            <w:vAlign w:val="center"/>
          </w:tcPr>
          <w:p w14:paraId="0C532BAA" w14:textId="6184472D" w:rsidR="00B150DC" w:rsidRPr="0093475A" w:rsidRDefault="00B150DC" w:rsidP="00882420">
            <w:pPr>
              <w:rPr>
                <w:rFonts w:asciiTheme="minorHAnsi" w:hAnsiTheme="minorHAnsi" w:cs="Arial"/>
                <w:b/>
              </w:rPr>
            </w:pPr>
            <w:r w:rsidRPr="0093475A">
              <w:rPr>
                <w:rFonts w:asciiTheme="minorHAnsi" w:hAnsiTheme="minorHAnsi" w:cs="Arial"/>
                <w:b/>
              </w:rPr>
              <w:t>Normalization</w:t>
            </w:r>
          </w:p>
        </w:tc>
        <w:tc>
          <w:tcPr>
            <w:tcW w:w="7402" w:type="dxa"/>
            <w:shd w:val="clear" w:color="auto" w:fill="auto"/>
          </w:tcPr>
          <w:p w14:paraId="6DBEDE24" w14:textId="1005F847" w:rsidR="00B150DC" w:rsidRPr="0093475A" w:rsidRDefault="00B150DC" w:rsidP="00B150DC">
            <w:pPr>
              <w:rPr>
                <w:rFonts w:asciiTheme="minorHAnsi" w:hAnsiTheme="minorHAnsi" w:cs="Arial"/>
              </w:rPr>
            </w:pPr>
            <w:r w:rsidRPr="0093475A">
              <w:rPr>
                <w:rFonts w:asciiTheme="minorHAnsi" w:hAnsiTheme="minorHAnsi" w:cs="Arial"/>
              </w:rPr>
              <w:t xml:space="preserve">Normalization is the fourth pillar in GVV, and it helps you recognize values conflicts will arise over the course of your career and that you </w:t>
            </w:r>
            <w:r w:rsidRPr="0093475A">
              <w:rPr>
                <w:rFonts w:asciiTheme="minorHAnsi" w:hAnsiTheme="minorHAnsi" w:cs="Arial"/>
                <w:b/>
                <w:i/>
              </w:rPr>
              <w:t>can</w:t>
            </w:r>
            <w:r w:rsidRPr="0093475A">
              <w:rPr>
                <w:rFonts w:asciiTheme="minorHAnsi" w:hAnsiTheme="minorHAnsi" w:cs="Arial"/>
              </w:rPr>
              <w:t xml:space="preserve"> approach them calmly and competently. Consider some of the most common types of conflicts that you may experience in your work in order to minimize the disabling effect that surprise can have.</w:t>
            </w:r>
          </w:p>
        </w:tc>
      </w:tr>
      <w:tr w:rsidR="0093475A" w:rsidRPr="00CE00AC" w14:paraId="4C2C91A4" w14:textId="77777777" w:rsidTr="009056EA">
        <w:trPr>
          <w:trHeight w:val="938"/>
        </w:trPr>
        <w:tc>
          <w:tcPr>
            <w:tcW w:w="2062" w:type="dxa"/>
            <w:shd w:val="clear" w:color="auto" w:fill="auto"/>
            <w:vAlign w:val="center"/>
          </w:tcPr>
          <w:p w14:paraId="73A078A3" w14:textId="235AA128" w:rsidR="0093475A" w:rsidRPr="0093475A" w:rsidRDefault="0093475A" w:rsidP="0093475A">
            <w:pPr>
              <w:rPr>
                <w:rFonts w:asciiTheme="minorHAnsi" w:hAnsiTheme="minorHAnsi" w:cs="Arial"/>
                <w:b/>
              </w:rPr>
            </w:pPr>
            <w:r w:rsidRPr="0093475A">
              <w:rPr>
                <w:rFonts w:asciiTheme="minorHAnsi" w:hAnsiTheme="minorHAnsi" w:cs="Arial"/>
                <w:b/>
              </w:rPr>
              <w:t>Purpose</w:t>
            </w:r>
          </w:p>
        </w:tc>
        <w:tc>
          <w:tcPr>
            <w:tcW w:w="7402" w:type="dxa"/>
            <w:shd w:val="clear" w:color="auto" w:fill="auto"/>
          </w:tcPr>
          <w:p w14:paraId="6E40EF63" w14:textId="1325A89F" w:rsidR="0093475A" w:rsidRPr="0093475A" w:rsidRDefault="0093475A" w:rsidP="0093475A">
            <w:pPr>
              <w:rPr>
                <w:rFonts w:asciiTheme="minorHAnsi" w:hAnsiTheme="minorHAnsi" w:cs="Arial"/>
              </w:rPr>
            </w:pPr>
            <w:r w:rsidRPr="0093475A">
              <w:rPr>
                <w:rFonts w:asciiTheme="minorHAnsi" w:hAnsiTheme="minorHAnsi" w:cs="Arial"/>
              </w:rPr>
              <w:t>Purpose is the second pillar in GVV. By defining your personal and professional purposes explicitly and broadly before conflicts arise, GVV helps you anchor your decisions and actions in a wider context than your current work environment. Similarly, GVV helps you to appeal to a sense of purpose in others.</w:t>
            </w:r>
          </w:p>
        </w:tc>
      </w:tr>
      <w:tr w:rsidR="0093475A" w:rsidRPr="00CE00AC" w14:paraId="496ADAD9" w14:textId="77777777" w:rsidTr="009056EA">
        <w:trPr>
          <w:trHeight w:val="938"/>
        </w:trPr>
        <w:tc>
          <w:tcPr>
            <w:tcW w:w="2062" w:type="dxa"/>
            <w:shd w:val="clear" w:color="auto" w:fill="auto"/>
            <w:vAlign w:val="center"/>
          </w:tcPr>
          <w:p w14:paraId="354383F7" w14:textId="08918182" w:rsidR="0093475A" w:rsidRPr="0093475A" w:rsidRDefault="0093475A" w:rsidP="0093475A">
            <w:pPr>
              <w:rPr>
                <w:rFonts w:asciiTheme="minorHAnsi" w:hAnsiTheme="minorHAnsi" w:cs="Arial"/>
                <w:b/>
              </w:rPr>
            </w:pPr>
            <w:r w:rsidRPr="0093475A">
              <w:rPr>
                <w:rFonts w:asciiTheme="minorHAnsi" w:hAnsiTheme="minorHAnsi" w:cs="Arial"/>
                <w:b/>
              </w:rPr>
              <w:t>Reasons and Rationalizations</w:t>
            </w:r>
          </w:p>
        </w:tc>
        <w:tc>
          <w:tcPr>
            <w:tcW w:w="7402" w:type="dxa"/>
            <w:shd w:val="clear" w:color="auto" w:fill="auto"/>
          </w:tcPr>
          <w:p w14:paraId="7A2A722B" w14:textId="1AF7B757" w:rsidR="0093475A" w:rsidRPr="0093475A" w:rsidRDefault="0093475A" w:rsidP="0093475A">
            <w:pPr>
              <w:rPr>
                <w:rFonts w:asciiTheme="minorHAnsi" w:hAnsiTheme="minorHAnsi" w:cs="Arial"/>
              </w:rPr>
            </w:pPr>
            <w:r w:rsidRPr="0093475A">
              <w:rPr>
                <w:rFonts w:asciiTheme="minorHAnsi" w:hAnsiTheme="minorHAnsi" w:cs="Arial"/>
              </w:rPr>
              <w:t>The reasons and rationalizations pillar is the last of seven in GVV. By anticipating typical reasons given for ethically questionable behavior and identifying counterarguments, you can develop and practice useful questions, arguments, and ways to frame roles and purpose in order to respond persuasively.</w:t>
            </w:r>
          </w:p>
        </w:tc>
      </w:tr>
      <w:tr w:rsidR="0093475A" w:rsidRPr="00CE00AC" w14:paraId="01B949E1" w14:textId="77777777" w:rsidTr="009056EA">
        <w:trPr>
          <w:trHeight w:val="938"/>
        </w:trPr>
        <w:tc>
          <w:tcPr>
            <w:tcW w:w="2062" w:type="dxa"/>
            <w:shd w:val="clear" w:color="auto" w:fill="auto"/>
            <w:vAlign w:val="center"/>
          </w:tcPr>
          <w:p w14:paraId="563C972F" w14:textId="02D695FC" w:rsidR="0093475A" w:rsidRPr="0093475A" w:rsidRDefault="0093475A" w:rsidP="0093475A">
            <w:pPr>
              <w:rPr>
                <w:rFonts w:asciiTheme="minorHAnsi" w:hAnsiTheme="minorHAnsi" w:cs="Arial"/>
                <w:b/>
              </w:rPr>
            </w:pPr>
            <w:r w:rsidRPr="0093475A">
              <w:rPr>
                <w:rFonts w:asciiTheme="minorHAnsi" w:hAnsiTheme="minorHAnsi" w:cs="Arial"/>
                <w:b/>
              </w:rPr>
              <w:t>Speak Up culture</w:t>
            </w:r>
          </w:p>
        </w:tc>
        <w:tc>
          <w:tcPr>
            <w:tcW w:w="7402" w:type="dxa"/>
            <w:shd w:val="clear" w:color="auto" w:fill="auto"/>
          </w:tcPr>
          <w:p w14:paraId="6D80D005" w14:textId="3C317CA9" w:rsidR="0093475A" w:rsidRPr="0093475A" w:rsidRDefault="0093475A" w:rsidP="0093475A">
            <w:pPr>
              <w:rPr>
                <w:rFonts w:asciiTheme="minorHAnsi" w:hAnsiTheme="minorHAnsi" w:cs="Arial"/>
              </w:rPr>
            </w:pPr>
            <w:r w:rsidRPr="0093475A">
              <w:rPr>
                <w:rFonts w:asciiTheme="minorHAnsi" w:hAnsiTheme="minorHAnsi" w:cs="Arial"/>
              </w:rPr>
              <w:t xml:space="preserve">Speak Up culture is one that supports </w:t>
            </w:r>
            <w:r w:rsidRPr="0093475A">
              <w:rPr>
                <w:rFonts w:asciiTheme="minorHAnsi" w:hAnsiTheme="minorHAnsi" w:cs="Arial"/>
                <w:i/>
              </w:rPr>
              <w:t>employee voice</w:t>
            </w:r>
            <w:r w:rsidRPr="0093475A">
              <w:rPr>
                <w:rFonts w:asciiTheme="minorHAnsi" w:hAnsiTheme="minorHAnsi" w:cs="Arial"/>
              </w:rPr>
              <w:t xml:space="preserve">, meaning that people raise concerns, share information about problems, challenge the status quo, and offer new ideas to someone who can action them. It’s an environment where people generally feel that their input is </w:t>
            </w:r>
            <w:r w:rsidRPr="0093475A">
              <w:rPr>
                <w:rFonts w:asciiTheme="minorHAnsi" w:hAnsiTheme="minorHAnsi" w:cs="Arial"/>
                <w:i/>
              </w:rPr>
              <w:t>welcomed</w:t>
            </w:r>
            <w:r w:rsidRPr="0093475A">
              <w:rPr>
                <w:rFonts w:asciiTheme="minorHAnsi" w:hAnsiTheme="minorHAnsi" w:cs="Arial"/>
              </w:rPr>
              <w:t xml:space="preserve"> and </w:t>
            </w:r>
            <w:r w:rsidRPr="0093475A">
              <w:rPr>
                <w:rFonts w:asciiTheme="minorHAnsi" w:hAnsiTheme="minorHAnsi" w:cs="Arial"/>
                <w:i/>
              </w:rPr>
              <w:t>valued</w:t>
            </w:r>
            <w:r w:rsidRPr="0093475A">
              <w:rPr>
                <w:rFonts w:asciiTheme="minorHAnsi" w:hAnsiTheme="minorHAnsi" w:cs="Arial"/>
              </w:rPr>
              <w:t xml:space="preserve">. A Speak Up culture helps overcome </w:t>
            </w:r>
            <w:r w:rsidRPr="0093475A">
              <w:rPr>
                <w:rFonts w:asciiTheme="minorHAnsi" w:hAnsiTheme="minorHAnsi" w:cs="Arial"/>
                <w:i/>
              </w:rPr>
              <w:t>employee silence</w:t>
            </w:r>
            <w:r w:rsidRPr="0093475A">
              <w:rPr>
                <w:rFonts w:asciiTheme="minorHAnsi" w:hAnsiTheme="minorHAnsi" w:cs="Arial"/>
              </w:rPr>
              <w:t>, which is when people withhold ideas or concerns or feel they do not want to share their input in their workplace.</w:t>
            </w:r>
          </w:p>
        </w:tc>
      </w:tr>
      <w:tr w:rsidR="0093475A" w:rsidRPr="00CE00AC" w14:paraId="670340B7" w14:textId="77777777" w:rsidTr="009056EA">
        <w:trPr>
          <w:trHeight w:val="938"/>
        </w:trPr>
        <w:tc>
          <w:tcPr>
            <w:tcW w:w="2062" w:type="dxa"/>
            <w:shd w:val="clear" w:color="auto" w:fill="auto"/>
            <w:vAlign w:val="center"/>
          </w:tcPr>
          <w:p w14:paraId="3F4058BD" w14:textId="5D308F79" w:rsidR="0093475A" w:rsidRPr="0093475A" w:rsidRDefault="0093475A" w:rsidP="0093475A">
            <w:pPr>
              <w:rPr>
                <w:rFonts w:asciiTheme="minorHAnsi" w:hAnsiTheme="minorHAnsi" w:cs="Arial"/>
                <w:b/>
              </w:rPr>
            </w:pPr>
            <w:r w:rsidRPr="0093475A">
              <w:rPr>
                <w:rFonts w:asciiTheme="minorHAnsi" w:hAnsiTheme="minorHAnsi" w:cs="Arial"/>
                <w:b/>
              </w:rPr>
              <w:t xml:space="preserve">Self-Knowledge  </w:t>
            </w:r>
          </w:p>
        </w:tc>
        <w:tc>
          <w:tcPr>
            <w:tcW w:w="7402" w:type="dxa"/>
            <w:shd w:val="clear" w:color="auto" w:fill="auto"/>
          </w:tcPr>
          <w:p w14:paraId="22991D3C" w14:textId="1979B126" w:rsidR="0093475A" w:rsidRPr="0093475A" w:rsidRDefault="0093475A" w:rsidP="0093475A">
            <w:pPr>
              <w:rPr>
                <w:rFonts w:asciiTheme="minorHAnsi" w:hAnsiTheme="minorHAnsi" w:cs="Arial"/>
              </w:rPr>
            </w:pPr>
            <w:r w:rsidRPr="0093475A">
              <w:rPr>
                <w:rFonts w:asciiTheme="minorHAnsi" w:hAnsiTheme="minorHAnsi" w:cs="Arial"/>
              </w:rPr>
              <w:t>Self-knowledge is the fifth pillar in GVV, and it asks you to generate a self-story about voicing and acting on your values that is consistent with who you are and that builds on your strengths. This approach shows that there are many ways to align your strengths and style with your values.</w:t>
            </w:r>
          </w:p>
        </w:tc>
      </w:tr>
      <w:tr w:rsidR="0093475A" w:rsidRPr="00CE00AC" w14:paraId="535EB695" w14:textId="77777777" w:rsidTr="009056EA">
        <w:trPr>
          <w:trHeight w:val="938"/>
        </w:trPr>
        <w:tc>
          <w:tcPr>
            <w:tcW w:w="2062" w:type="dxa"/>
            <w:shd w:val="clear" w:color="auto" w:fill="auto"/>
            <w:vAlign w:val="center"/>
          </w:tcPr>
          <w:p w14:paraId="36A27E05" w14:textId="48934A02" w:rsidR="0093475A" w:rsidRPr="0093475A" w:rsidRDefault="0093475A" w:rsidP="0093475A">
            <w:pPr>
              <w:rPr>
                <w:rFonts w:asciiTheme="minorHAnsi" w:hAnsiTheme="minorHAnsi" w:cs="Arial"/>
                <w:b/>
              </w:rPr>
            </w:pPr>
            <w:r w:rsidRPr="0093475A">
              <w:rPr>
                <w:rFonts w:asciiTheme="minorHAnsi" w:hAnsiTheme="minorHAnsi" w:cs="Arial"/>
                <w:b/>
              </w:rPr>
              <w:t>Values</w:t>
            </w:r>
          </w:p>
        </w:tc>
        <w:tc>
          <w:tcPr>
            <w:tcW w:w="7402" w:type="dxa"/>
            <w:shd w:val="clear" w:color="auto" w:fill="auto"/>
          </w:tcPr>
          <w:p w14:paraId="12C9661A" w14:textId="239EE534" w:rsidR="0093475A" w:rsidRPr="0093475A" w:rsidRDefault="0093475A" w:rsidP="0093475A">
            <w:pPr>
              <w:rPr>
                <w:rFonts w:asciiTheme="minorHAnsi" w:hAnsiTheme="minorHAnsi" w:cs="Arial"/>
              </w:rPr>
            </w:pPr>
            <w:r w:rsidRPr="0093475A">
              <w:rPr>
                <w:rFonts w:asciiTheme="minorHAnsi" w:hAnsiTheme="minorHAnsi" w:cs="Arial"/>
              </w:rPr>
              <w:t>The Values pillar is the first of seven pillars in GVV. When an ethical issue arises, Giving Voice to Values encourages you to appeal to a short list of widely shared values in order to identify common goals that could help to resolve the issue. KPMG’s Values of Integrity, Excellence, Courage, Together and For Better are a great place to start in finding common ground.</w:t>
            </w:r>
          </w:p>
        </w:tc>
      </w:tr>
      <w:tr w:rsidR="0093475A" w:rsidRPr="00CE00AC" w14:paraId="33F13BE3" w14:textId="77777777" w:rsidTr="009056EA">
        <w:trPr>
          <w:trHeight w:val="938"/>
        </w:trPr>
        <w:tc>
          <w:tcPr>
            <w:tcW w:w="2062" w:type="dxa"/>
            <w:shd w:val="clear" w:color="auto" w:fill="auto"/>
            <w:vAlign w:val="center"/>
          </w:tcPr>
          <w:p w14:paraId="1B5DD2B0" w14:textId="5EEBC919" w:rsidR="0093475A" w:rsidRPr="0093475A" w:rsidRDefault="0093475A" w:rsidP="0093475A">
            <w:pPr>
              <w:rPr>
                <w:rFonts w:asciiTheme="minorHAnsi" w:hAnsiTheme="minorHAnsi" w:cs="Arial"/>
                <w:b/>
              </w:rPr>
            </w:pPr>
            <w:r w:rsidRPr="0093475A">
              <w:rPr>
                <w:rFonts w:asciiTheme="minorHAnsi" w:hAnsiTheme="minorHAnsi" w:cs="Arial"/>
                <w:b/>
              </w:rPr>
              <w:t>Voice</w:t>
            </w:r>
          </w:p>
        </w:tc>
        <w:tc>
          <w:tcPr>
            <w:tcW w:w="7402" w:type="dxa"/>
            <w:shd w:val="clear" w:color="auto" w:fill="auto"/>
          </w:tcPr>
          <w:p w14:paraId="79685E29" w14:textId="477FC857" w:rsidR="0093475A" w:rsidRPr="0093475A" w:rsidRDefault="0093475A" w:rsidP="0093475A">
            <w:pPr>
              <w:rPr>
                <w:rFonts w:asciiTheme="minorHAnsi" w:hAnsiTheme="minorHAnsi" w:cs="Arial"/>
              </w:rPr>
            </w:pPr>
            <w:r w:rsidRPr="0093475A">
              <w:rPr>
                <w:rFonts w:asciiTheme="minorHAnsi" w:hAnsiTheme="minorHAnsi" w:cs="Arial"/>
              </w:rPr>
              <w:t>Voice in the sixth pillar in GVV. GVV is unique in giving you a platform to voice your values and practice what you could say to resolve an ethical issue in front of respected peers, using the style of expression with which you are the most skillful and which is most appropriate to the situation. By inviting coaching and feedback, you are building ethical muscle memory. You are likely to say those words that you have pre-scripted for yourself and have already heard yourself express.</w:t>
            </w:r>
          </w:p>
        </w:tc>
      </w:tr>
    </w:tbl>
    <w:p w14:paraId="69A69BAE" w14:textId="77777777" w:rsidR="00CE00AC" w:rsidRPr="00CE00AC" w:rsidRDefault="00CE00AC" w:rsidP="00CE00AC">
      <w:pPr>
        <w:tabs>
          <w:tab w:val="num" w:pos="2257"/>
        </w:tabs>
        <w:rPr>
          <w:rFonts w:cs="Calibri"/>
        </w:rPr>
      </w:pPr>
    </w:p>
    <w:p w14:paraId="01D9624B" w14:textId="77777777" w:rsidR="00CD0C70" w:rsidRDefault="009056EA" w:rsidP="003056FF"/>
    <w:sectPr w:rsidR="00CD0C70" w:rsidSect="003C2B1B">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34BF"/>
    <w:multiLevelType w:val="singleLevel"/>
    <w:tmpl w:val="F6584D04"/>
    <w:lvl w:ilvl="0">
      <w:start w:val="1"/>
      <w:numFmt w:val="bullet"/>
      <w:lvlText w:val=""/>
      <w:lvlJc w:val="left"/>
      <w:pPr>
        <w:tabs>
          <w:tab w:val="num" w:pos="340"/>
        </w:tabs>
        <w:ind w:left="340" w:hanging="340"/>
      </w:pPr>
      <w:rPr>
        <w:rFonts w:ascii="Symbol" w:hAnsi="Symbol" w:hint="default"/>
        <w:color w:val="auto"/>
        <w:sz w:val="22"/>
      </w:rPr>
    </w:lvl>
  </w:abstractNum>
  <w:abstractNum w:abstractNumId="1">
    <w:nsid w:val="19323B22"/>
    <w:multiLevelType w:val="singleLevel"/>
    <w:tmpl w:val="87867EC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nsid w:val="225E3514"/>
    <w:multiLevelType w:val="hybridMultilevel"/>
    <w:tmpl w:val="DF64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05072"/>
    <w:multiLevelType w:val="singleLevel"/>
    <w:tmpl w:val="5EB249D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nsid w:val="2CB7285A"/>
    <w:multiLevelType w:val="singleLevel"/>
    <w:tmpl w:val="C61C9CFE"/>
    <w:lvl w:ilvl="0">
      <w:start w:val="1"/>
      <w:numFmt w:val="bullet"/>
      <w:lvlText w:val=""/>
      <w:lvlJc w:val="left"/>
      <w:pPr>
        <w:tabs>
          <w:tab w:val="num" w:pos="340"/>
        </w:tabs>
        <w:ind w:left="340" w:hanging="340"/>
      </w:pPr>
      <w:rPr>
        <w:rFonts w:ascii="Symbol" w:hAnsi="Symbol" w:hint="default"/>
        <w:color w:val="auto"/>
        <w:sz w:val="22"/>
      </w:rPr>
    </w:lvl>
  </w:abstractNum>
  <w:abstractNum w:abstractNumId="5">
    <w:nsid w:val="2D972E9F"/>
    <w:multiLevelType w:val="hybridMultilevel"/>
    <w:tmpl w:val="6E42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6574D"/>
    <w:multiLevelType w:val="singleLevel"/>
    <w:tmpl w:val="90C0B594"/>
    <w:lvl w:ilvl="0">
      <w:start w:val="1"/>
      <w:numFmt w:val="bullet"/>
      <w:lvlText w:val=""/>
      <w:lvlJc w:val="left"/>
      <w:pPr>
        <w:tabs>
          <w:tab w:val="num" w:pos="340"/>
        </w:tabs>
        <w:ind w:left="340" w:hanging="340"/>
      </w:pPr>
      <w:rPr>
        <w:rFonts w:ascii="Symbol" w:hAnsi="Symbol" w:hint="default"/>
        <w:color w:val="auto"/>
        <w:sz w:val="22"/>
      </w:rPr>
    </w:lvl>
  </w:abstractNum>
  <w:abstractNum w:abstractNumId="7">
    <w:nsid w:val="4CF80D42"/>
    <w:multiLevelType w:val="hybridMultilevel"/>
    <w:tmpl w:val="A3AC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005E9"/>
    <w:multiLevelType w:val="singleLevel"/>
    <w:tmpl w:val="F4E4785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9">
    <w:nsid w:val="540639C0"/>
    <w:multiLevelType w:val="hybridMultilevel"/>
    <w:tmpl w:val="A35A4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99316D"/>
    <w:multiLevelType w:val="hybridMultilevel"/>
    <w:tmpl w:val="C6AC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C34CA"/>
    <w:multiLevelType w:val="hybridMultilevel"/>
    <w:tmpl w:val="E2FE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40C17"/>
    <w:multiLevelType w:val="singleLevel"/>
    <w:tmpl w:val="EA80E3CC"/>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6C8F7D11"/>
    <w:multiLevelType w:val="hybridMultilevel"/>
    <w:tmpl w:val="A5CA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903BC"/>
    <w:multiLevelType w:val="singleLevel"/>
    <w:tmpl w:val="6BE812D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5">
    <w:nsid w:val="70040E53"/>
    <w:multiLevelType w:val="hybridMultilevel"/>
    <w:tmpl w:val="82E8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2C131C"/>
    <w:multiLevelType w:val="singleLevel"/>
    <w:tmpl w:val="1A1018C0"/>
    <w:lvl w:ilvl="0">
      <w:start w:val="1"/>
      <w:numFmt w:val="bullet"/>
      <w:lvlText w:val="—"/>
      <w:lvlJc w:val="left"/>
      <w:pPr>
        <w:tabs>
          <w:tab w:val="num" w:pos="340"/>
        </w:tabs>
        <w:ind w:left="340" w:hanging="340"/>
      </w:pPr>
      <w:rPr>
        <w:rFonts w:ascii="Arial" w:hAnsi="Arial" w:cs="Arial" w:hint="default"/>
        <w:color w:val="auto"/>
        <w:sz w:val="24"/>
      </w:rPr>
    </w:lvl>
  </w:abstractNum>
  <w:num w:numId="1">
    <w:abstractNumId w:val="9"/>
  </w:num>
  <w:num w:numId="2">
    <w:abstractNumId w:val="4"/>
  </w:num>
  <w:num w:numId="3">
    <w:abstractNumId w:val="6"/>
  </w:num>
  <w:num w:numId="4">
    <w:abstractNumId w:val="12"/>
  </w:num>
  <w:num w:numId="5">
    <w:abstractNumId w:val="0"/>
  </w:num>
  <w:num w:numId="6">
    <w:abstractNumId w:val="10"/>
  </w:num>
  <w:num w:numId="7">
    <w:abstractNumId w:val="8"/>
  </w:num>
  <w:num w:numId="8">
    <w:abstractNumId w:val="11"/>
  </w:num>
  <w:num w:numId="9">
    <w:abstractNumId w:val="16"/>
  </w:num>
  <w:num w:numId="10">
    <w:abstractNumId w:val="7"/>
  </w:num>
  <w:num w:numId="11">
    <w:abstractNumId w:val="2"/>
  </w:num>
  <w:num w:numId="12">
    <w:abstractNumId w:val="3"/>
  </w:num>
  <w:num w:numId="13">
    <w:abstractNumId w:val="5"/>
  </w:num>
  <w:num w:numId="14">
    <w:abstractNumId w:val="1"/>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09"/>
    <w:rsid w:val="00077E20"/>
    <w:rsid w:val="001F6211"/>
    <w:rsid w:val="00210EEE"/>
    <w:rsid w:val="002335C3"/>
    <w:rsid w:val="00234107"/>
    <w:rsid w:val="00245780"/>
    <w:rsid w:val="002D0282"/>
    <w:rsid w:val="003056FF"/>
    <w:rsid w:val="003B4CA3"/>
    <w:rsid w:val="003C2B1B"/>
    <w:rsid w:val="004069E9"/>
    <w:rsid w:val="00467A2D"/>
    <w:rsid w:val="00494E09"/>
    <w:rsid w:val="006664AB"/>
    <w:rsid w:val="006B37F0"/>
    <w:rsid w:val="0081177B"/>
    <w:rsid w:val="00882420"/>
    <w:rsid w:val="009056EA"/>
    <w:rsid w:val="00916402"/>
    <w:rsid w:val="0093475A"/>
    <w:rsid w:val="00966BC4"/>
    <w:rsid w:val="00B150DC"/>
    <w:rsid w:val="00C53D3C"/>
    <w:rsid w:val="00CE00AC"/>
    <w:rsid w:val="00CE7367"/>
    <w:rsid w:val="00D86B4C"/>
    <w:rsid w:val="00DA3443"/>
    <w:rsid w:val="00DE419E"/>
    <w:rsid w:val="00E4387D"/>
    <w:rsid w:val="00F323AE"/>
    <w:rsid w:val="00F40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687D"/>
  <w15:docId w15:val="{821E377F-ABC4-4E25-B0A9-B01D767C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09"/>
    <w:pPr>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4E09"/>
    <w:rPr>
      <w:color w:val="0563C1" w:themeColor="hyperlink"/>
      <w:u w:val="single"/>
    </w:rPr>
  </w:style>
  <w:style w:type="paragraph" w:styleId="ListParagraph">
    <w:name w:val="List Paragraph"/>
    <w:basedOn w:val="Normal"/>
    <w:link w:val="ListParagraphChar"/>
    <w:uiPriority w:val="34"/>
    <w:qFormat/>
    <w:rsid w:val="00494E09"/>
    <w:pPr>
      <w:ind w:left="720"/>
    </w:pPr>
  </w:style>
  <w:style w:type="paragraph" w:customStyle="1" w:styleId="Default">
    <w:name w:val="Default"/>
    <w:rsid w:val="00494E09"/>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alloonText">
    <w:name w:val="Balloon Text"/>
    <w:basedOn w:val="Normal"/>
    <w:link w:val="BalloonTextChar"/>
    <w:uiPriority w:val="99"/>
    <w:semiHidden/>
    <w:unhideWhenUsed/>
    <w:rsid w:val="002335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5C3"/>
    <w:rPr>
      <w:rFonts w:ascii="Segoe UI" w:eastAsia="Calibri" w:hAnsi="Segoe UI" w:cs="Segoe UI"/>
      <w:sz w:val="18"/>
      <w:szCs w:val="18"/>
      <w:lang w:val="en-US"/>
    </w:rPr>
  </w:style>
  <w:style w:type="paragraph" w:styleId="NormalWeb">
    <w:name w:val="Normal (Web)"/>
    <w:basedOn w:val="Normal"/>
    <w:uiPriority w:val="99"/>
    <w:semiHidden/>
    <w:unhideWhenUsed/>
    <w:rsid w:val="00234107"/>
    <w:pPr>
      <w:spacing w:before="100" w:beforeAutospacing="1" w:after="100" w:afterAutospacing="1"/>
    </w:pPr>
    <w:rPr>
      <w:rFonts w:ascii="Times New Roman" w:eastAsia="Times New Roman" w:hAnsi="Times New Roman"/>
      <w:sz w:val="24"/>
      <w:szCs w:val="24"/>
      <w:lang w:val="en-IN" w:eastAsia="en-IN"/>
    </w:rPr>
  </w:style>
  <w:style w:type="character" w:customStyle="1" w:styleId="ListParagraphChar">
    <w:name w:val="List Paragraph Char"/>
    <w:basedOn w:val="DefaultParagraphFont"/>
    <w:link w:val="ListParagraph"/>
    <w:uiPriority w:val="34"/>
    <w:rsid w:val="00F323AE"/>
    <w:rPr>
      <w:rFonts w:ascii="Calibri" w:eastAsia="Calibri" w:hAnsi="Calibri" w:cs="Times New Roman"/>
      <w:lang w:val="en-US"/>
    </w:rPr>
  </w:style>
  <w:style w:type="character" w:styleId="Strong">
    <w:name w:val="Strong"/>
    <w:basedOn w:val="DefaultParagraphFont"/>
    <w:uiPriority w:val="22"/>
    <w:qFormat/>
    <w:rsid w:val="001F6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63151">
      <w:bodyDiv w:val="1"/>
      <w:marLeft w:val="0"/>
      <w:marRight w:val="0"/>
      <w:marTop w:val="0"/>
      <w:marBottom w:val="0"/>
      <w:divBdr>
        <w:top w:val="none" w:sz="0" w:space="0" w:color="auto"/>
        <w:left w:val="none" w:sz="0" w:space="0" w:color="auto"/>
        <w:bottom w:val="none" w:sz="0" w:space="0" w:color="auto"/>
        <w:right w:val="none" w:sz="0" w:space="0" w:color="auto"/>
      </w:divBdr>
      <w:divsChild>
        <w:div w:id="1686588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Alesiya Khan</dc:creator>
  <cp:lastModifiedBy>Lalit Pawar</cp:lastModifiedBy>
  <cp:revision>22</cp:revision>
  <cp:lastPrinted>2020-04-23T10:44:00Z</cp:lastPrinted>
  <dcterms:created xsi:type="dcterms:W3CDTF">2019-12-09T13:16:00Z</dcterms:created>
  <dcterms:modified xsi:type="dcterms:W3CDTF">2020-06-03T06:57:00Z</dcterms:modified>
</cp:coreProperties>
</file>