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1B2E"/>
          <w:sz w:val="52"/>
        </w:rPr>
        <w:t>IEEE CS Pro 2026</w:t>
      </w:r>
    </w:p>
    <w:p>
      <w:pPr>
        <w:jc w:val="center"/>
      </w:pPr>
      <w:r>
        <w:rPr>
          <w:b/>
          <w:color w:val="B0882C"/>
          <w:sz w:val="26"/>
        </w:rPr>
        <w:t>Event Concept &amp; Execution Plan</w:t>
      </w:r>
    </w:p>
    <w:p>
      <w:pPr>
        <w:jc w:val="center"/>
      </w:pPr>
      <w:r>
        <w:rPr>
          <w:i/>
          <w:color w:val="555B66"/>
          <w:sz w:val="21"/>
        </w:rPr>
        <w:t>An exclusive leadership &amp; networking forum for CS Professionals.</w:t>
      </w:r>
    </w:p>
    <w:tbl>
      <w:tblPr>
        <w:tblStyle w:val="TableGrid"/>
        <w:tblW w:type="auto" w:w="0"/>
        <w:tblLook w:firstColumn="1" w:firstRow="1" w:lastColumn="0" w:lastRow="0" w:noHBand="0" w:noVBand="1" w:val="04A0"/>
      </w:tblPr>
      <w:tblGrid>
        <w:gridCol w:w="4320"/>
        <w:gridCol w:w="4320"/>
      </w:tblGrid>
      <w:tr>
        <w:tc>
          <w:tcPr>
            <w:tcW w:type="dxa" w:w="2736"/>
            <w:shd w:val="clear" w:fill="F3EFE2"/>
          </w:tcPr>
          <w:p>
            <w:r/>
            <w:r>
              <w:rPr>
                <w:b/>
                <w:color w:val="151B2E"/>
                <w:sz w:val="20"/>
              </w:rPr>
              <w:t>Event Theme</w:t>
            </w:r>
          </w:p>
        </w:tc>
        <w:tc>
          <w:tcPr>
            <w:tcW w:type="dxa" w:w="6624"/>
          </w:tcPr>
          <w:p>
            <w:r/>
            <w:r>
              <w:rPr>
                <w:b w:val="0"/>
                <w:sz w:val="20"/>
              </w:rPr>
              <w:t>CS Pro Conclave 2026 — Leaders. Learners. Impact.</w:t>
            </w:r>
          </w:p>
        </w:tc>
      </w:tr>
      <w:tr>
        <w:tc>
          <w:tcPr>
            <w:tcW w:type="dxa" w:w="2736"/>
            <w:shd w:val="clear" w:fill="F3EFE2"/>
          </w:tcPr>
          <w:p>
            <w:r/>
            <w:r>
              <w:rPr>
                <w:b/>
                <w:color w:val="151B2E"/>
                <w:sz w:val="20"/>
              </w:rPr>
              <w:t>Date</w:t>
            </w:r>
          </w:p>
        </w:tc>
        <w:tc>
          <w:tcPr>
            <w:tcW w:type="dxa" w:w="6624"/>
          </w:tcPr>
          <w:p>
            <w:r/>
            <w:r>
              <w:rPr>
                <w:b w:val="0"/>
                <w:sz w:val="20"/>
              </w:rPr>
              <w:t>Sunday, 26 July 2026</w:t>
            </w:r>
          </w:p>
        </w:tc>
      </w:tr>
      <w:tr>
        <w:tc>
          <w:tcPr>
            <w:tcW w:type="dxa" w:w="2736"/>
            <w:shd w:val="clear" w:fill="F3EFE2"/>
          </w:tcPr>
          <w:p>
            <w:r/>
            <w:r>
              <w:rPr>
                <w:b/>
                <w:color w:val="151B2E"/>
                <w:sz w:val="20"/>
              </w:rPr>
              <w:t>Time</w:t>
            </w:r>
          </w:p>
        </w:tc>
        <w:tc>
          <w:tcPr>
            <w:tcW w:type="dxa" w:w="6624"/>
          </w:tcPr>
          <w:p>
            <w:r/>
            <w:r>
              <w:rPr>
                <w:b w:val="0"/>
                <w:sz w:val="20"/>
              </w:rPr>
              <w:t>9:00 AM – 1:00 PM (followed by lunch)</w:t>
            </w:r>
          </w:p>
        </w:tc>
      </w:tr>
      <w:tr>
        <w:tc>
          <w:tcPr>
            <w:tcW w:type="dxa" w:w="2736"/>
            <w:shd w:val="clear" w:fill="F3EFE2"/>
          </w:tcPr>
          <w:p>
            <w:r/>
            <w:r>
              <w:rPr>
                <w:b/>
                <w:color w:val="151B2E"/>
                <w:sz w:val="20"/>
              </w:rPr>
              <w:t>Venue</w:t>
            </w:r>
          </w:p>
        </w:tc>
        <w:tc>
          <w:tcPr>
            <w:tcW w:type="dxa" w:w="6624"/>
          </w:tcPr>
          <w:p>
            <w:r/>
            <w:r>
              <w:rPr>
                <w:b w:val="0"/>
                <w:sz w:val="20"/>
              </w:rPr>
              <w:t>TBD</w:t>
            </w:r>
          </w:p>
        </w:tc>
      </w:tr>
      <w:tr>
        <w:tc>
          <w:tcPr>
            <w:tcW w:type="dxa" w:w="2736"/>
            <w:shd w:val="clear" w:fill="F3EFE2"/>
          </w:tcPr>
          <w:p>
            <w:r/>
            <w:r>
              <w:rPr>
                <w:b/>
                <w:color w:val="151B2E"/>
                <w:sz w:val="20"/>
              </w:rPr>
              <w:t>Access</w:t>
            </w:r>
          </w:p>
        </w:tc>
        <w:tc>
          <w:tcPr>
            <w:tcW w:type="dxa" w:w="6624"/>
          </w:tcPr>
          <w:p>
            <w:r/>
            <w:r>
              <w:rPr>
                <w:b w:val="0"/>
                <w:sz w:val="20"/>
              </w:rPr>
              <w:t>By Invitation Only / Invite-based registration</w:t>
            </w:r>
          </w:p>
        </w:tc>
      </w:tr>
      <w:tr>
        <w:tc>
          <w:tcPr>
            <w:tcW w:type="dxa" w:w="2736"/>
            <w:shd w:val="clear" w:fill="F3EFE2"/>
          </w:tcPr>
          <w:p>
            <w:r/>
            <w:r>
              <w:rPr>
                <w:b/>
                <w:color w:val="151B2E"/>
                <w:sz w:val="20"/>
              </w:rPr>
              <w:t>Organised by</w:t>
            </w:r>
          </w:p>
        </w:tc>
        <w:tc>
          <w:tcPr>
            <w:tcW w:type="dxa" w:w="6624"/>
          </w:tcPr>
          <w:p>
            <w:r/>
            <w:r>
              <w:rPr>
                <w:b w:val="0"/>
                <w:sz w:val="20"/>
              </w:rPr>
              <w:t>IEEE Computer Society – Bangalore Chapter</w:t>
            </w:r>
          </w:p>
        </w:tc>
      </w:tr>
      <w:tr>
        <w:tc>
          <w:tcPr>
            <w:tcW w:type="dxa" w:w="2736"/>
            <w:shd w:val="clear" w:fill="F3EFE2"/>
          </w:tcPr>
          <w:p>
            <w:r/>
            <w:r>
              <w:rPr>
                <w:b/>
                <w:color w:val="151B2E"/>
                <w:sz w:val="20"/>
              </w:rPr>
              <w:t>In association with</w:t>
            </w:r>
          </w:p>
        </w:tc>
        <w:tc>
          <w:tcPr>
            <w:tcW w:type="dxa" w:w="6624"/>
          </w:tcPr>
          <w:p>
            <w:r/>
            <w:r>
              <w:rPr>
                <w:b w:val="0"/>
                <w:sz w:val="20"/>
              </w:rPr>
              <w:t>IEEE Bangalore Section · IEEE Computer Society 80 Years Celebration</w:t>
            </w:r>
          </w:p>
        </w:tc>
      </w:tr>
      <w:tr>
        <w:tc>
          <w:tcPr>
            <w:tcW w:type="dxa" w:w="2736"/>
            <w:shd w:val="clear" w:fill="F3EFE2"/>
          </w:tcPr>
          <w:p>
            <w:r/>
            <w:r>
              <w:rPr>
                <w:b/>
                <w:color w:val="151B2E"/>
                <w:sz w:val="20"/>
              </w:rPr>
              <w:t>Contact</w:t>
            </w:r>
          </w:p>
        </w:tc>
        <w:tc>
          <w:tcPr>
            <w:tcW w:type="dxa" w:w="6624"/>
          </w:tcPr>
          <w:p>
            <w:r/>
            <w:r>
              <w:rPr>
                <w:b w:val="0"/>
                <w:sz w:val="20"/>
              </w:rPr>
              <w:t>ieeecspro@gmail.com  ·  +91 96089 53402</w:t>
            </w:r>
          </w:p>
        </w:tc>
      </w:tr>
      <w:tr>
        <w:tc>
          <w:tcPr>
            <w:tcW w:type="dxa" w:w="2736"/>
            <w:shd w:val="clear" w:fill="F3EFE2"/>
          </w:tcPr>
          <w:p>
            <w:r/>
            <w:r>
              <w:rPr>
                <w:b/>
                <w:color w:val="151B2E"/>
                <w:sz w:val="20"/>
              </w:rPr>
              <w:t>Web / Social</w:t>
            </w:r>
          </w:p>
        </w:tc>
        <w:tc>
          <w:tcPr>
            <w:tcW w:type="dxa" w:w="6624"/>
          </w:tcPr>
          <w:p>
            <w:r/>
            <w:r>
              <w:rPr>
                <w:b w:val="0"/>
                <w:sz w:val="20"/>
              </w:rPr>
              <w:t>ieeecsbangalore.org  ·  Instagram @ieeecsbc</w:t>
            </w:r>
          </w:p>
        </w:tc>
      </w:tr>
    </w:tbl>
    <w:p>
      <w:pPr>
        <w:pBdr>
          <w:bottom w:val="single" w:sz="6" w:space="4" w:color="B0882C"/>
        </w:pBdr>
        <w:spacing w:before="320" w:after="120"/>
      </w:pPr>
      <w:r>
        <w:rPr>
          <w:b/>
          <w:color w:val="151B2E"/>
          <w:sz w:val="30"/>
        </w:rPr>
        <w:t>1.  Event Overview</w:t>
      </w:r>
    </w:p>
    <w:p>
      <w:pPr>
        <w:spacing w:after="80"/>
      </w:pPr>
      <w:r>
        <w:rPr>
          <w:i w:val="0"/>
        </w:rPr>
        <w:t>IEEE CS Pro 2026 is an exclusive leadership and networking forum designed to bring together leaders from industry, startups, academia and the broader innovation ecosystem to discuss emerging challenges, share best practices, and foster meaningful collaborations that shape the future workforce.</w:t>
      </w:r>
    </w:p>
    <w:p>
      <w:pPr>
        <w:spacing w:after="80"/>
      </w:pPr>
      <w:r>
        <w:rPr>
          <w:i w:val="0"/>
        </w:rPr>
        <w:t>The event is centred around a high-impact Leadership Round Table Conference, where leaders engage in focused discussions aimed at generating practical insights, actionable recommendations and long-term collaborative opportunities.</w:t>
      </w:r>
    </w:p>
    <w:p>
      <w:pPr>
        <w:spacing w:after="80"/>
      </w:pPr>
      <w:r>
        <w:rPr>
          <w:i w:val="0"/>
        </w:rPr>
        <w:t>The programme then expands into CS Professional Connect, a networking forum enabling leaders, professionals, HRs, academicians, Training &amp; Placement Officers (TPOs) and IEEE members to interact and build lasting connections.</w:t>
      </w:r>
    </w:p>
    <w:p>
      <w:pPr>
        <w:pBdr>
          <w:bottom w:val="single" w:sz="6" w:space="4" w:color="B0882C"/>
        </w:pBdr>
        <w:spacing w:before="320" w:after="120"/>
      </w:pPr>
      <w:r>
        <w:rPr>
          <w:b/>
          <w:color w:val="151B2E"/>
          <w:sz w:val="30"/>
        </w:rPr>
        <w:t>2.  Event Objectives</w:t>
      </w:r>
    </w:p>
    <w:p>
      <w:pPr>
        <w:pStyle w:val="ListBullet"/>
        <w:spacing w:after="40"/>
      </w:pPr>
      <w:r>
        <w:t>Facilitate meaningful dialogue among leaders from industry, startups and academia.</w:t>
      </w:r>
    </w:p>
    <w:p>
      <w:pPr>
        <w:pStyle w:val="ListBullet"/>
        <w:spacing w:after="40"/>
      </w:pPr>
      <w:r>
        <w:t>Generate actionable insights on workforce readiness and innovation.</w:t>
      </w:r>
    </w:p>
    <w:p>
      <w:pPr>
        <w:pStyle w:val="ListBullet"/>
        <w:spacing w:after="40"/>
      </w:pPr>
      <w:r>
        <w:t>Promote collaboration between institutions and employers.</w:t>
      </w:r>
    </w:p>
    <w:p>
      <w:pPr>
        <w:pStyle w:val="ListBullet"/>
        <w:spacing w:after="40"/>
      </w:pPr>
      <w:r>
        <w:t>Encourage IEEE membership and community engagement.</w:t>
      </w:r>
    </w:p>
    <w:p>
      <w:pPr>
        <w:pStyle w:val="ListBullet"/>
        <w:spacing w:after="40"/>
      </w:pPr>
      <w:r>
        <w:t>Build a sustainable ecosystem for future industry–academia partnerships.</w:t>
      </w:r>
    </w:p>
    <w:p>
      <w:pPr>
        <w:pBdr>
          <w:bottom w:val="single" w:sz="6" w:space="4" w:color="B0882C"/>
        </w:pBdr>
        <w:spacing w:before="320" w:after="120"/>
      </w:pPr>
      <w:r>
        <w:rPr>
          <w:b/>
          <w:color w:val="151B2E"/>
          <w:sz w:val="30"/>
        </w:rPr>
        <w:t>3.  Participant Profile</w:t>
      </w:r>
    </w:p>
    <w:p>
      <w:pPr>
        <w:spacing w:before="200" w:after="60"/>
      </w:pPr>
      <w:r>
        <w:rPr>
          <w:b/>
          <w:color w:val="B0882C"/>
          <w:sz w:val="24"/>
        </w:rPr>
        <w:t>Leadership Round Table (Leaders)</w:t>
      </w:r>
    </w:p>
    <w:tbl>
      <w:tblPr>
        <w:tblStyle w:val="TableGrid"/>
        <w:tblW w:type="auto" w:w="0"/>
        <w:tblLook w:firstColumn="1" w:firstRow="1" w:lastColumn="0" w:lastRow="0" w:noHBand="0" w:noVBand="1" w:val="04A0"/>
      </w:tblPr>
      <w:tblGrid>
        <w:gridCol w:w="4320"/>
        <w:gridCol w:w="4320"/>
      </w:tblGrid>
      <w:tr>
        <w:tc>
          <w:tcPr>
            <w:tcW w:type="dxa" w:w="7200"/>
            <w:shd w:val="clear" w:fill="151B2E"/>
          </w:tcPr>
          <w:p>
            <w:r/>
            <w:r>
              <w:rPr>
                <w:b/>
                <w:color w:val="FFFFFF"/>
                <w:sz w:val="21"/>
              </w:rPr>
              <w:t>Participants</w:t>
            </w:r>
          </w:p>
        </w:tc>
        <w:tc>
          <w:tcPr>
            <w:tcW w:type="dxa" w:w="2160"/>
            <w:shd w:val="clear" w:fill="151B2E"/>
          </w:tcPr>
          <w:p>
            <w:r/>
            <w:r>
              <w:rPr>
                <w:b/>
                <w:color w:val="FFFFFF"/>
                <w:sz w:val="21"/>
              </w:rPr>
              <w:t>Expected strength</w:t>
            </w:r>
          </w:p>
        </w:tc>
      </w:tr>
      <w:tr>
        <w:tc>
          <w:tcPr>
            <w:tcW w:type="dxa" w:w="7200"/>
          </w:tcPr>
          <w:p>
            <w:r/>
            <w:r>
              <w:rPr>
                <w:b w:val="0"/>
                <w:sz w:val="20"/>
              </w:rPr>
              <w:t>Industry Leaders · Startup Founders · Entrepreneurs · CXOs and Decision Makers · Invited Guests</w:t>
            </w:r>
          </w:p>
        </w:tc>
        <w:tc>
          <w:tcPr>
            <w:tcW w:type="dxa" w:w="2160"/>
          </w:tcPr>
          <w:p>
            <w:r/>
            <w:r>
              <w:rPr>
                <w:b w:val="0"/>
                <w:sz w:val="20"/>
              </w:rPr>
              <w:t>20–25</w:t>
            </w:r>
          </w:p>
        </w:tc>
      </w:tr>
    </w:tbl>
    <w:p>
      <w:pPr>
        <w:spacing w:before="200" w:after="60"/>
      </w:pPr>
      <w:r>
        <w:rPr>
          <w:b/>
          <w:color w:val="B0882C"/>
          <w:sz w:val="24"/>
        </w:rPr>
        <w:t>CS Professional Connect (Professionals)</w:t>
      </w:r>
    </w:p>
    <w:tbl>
      <w:tblPr>
        <w:tblStyle w:val="TableGrid"/>
        <w:tblW w:type="auto" w:w="0"/>
        <w:tblLook w:firstColumn="1" w:firstRow="1" w:lastColumn="0" w:lastRow="0" w:noHBand="0" w:noVBand="1" w:val="04A0"/>
      </w:tblPr>
      <w:tblGrid>
        <w:gridCol w:w="4320"/>
        <w:gridCol w:w="4320"/>
      </w:tblGrid>
      <w:tr>
        <w:tc>
          <w:tcPr>
            <w:tcW w:type="dxa" w:w="7200"/>
            <w:shd w:val="clear" w:fill="151B2E"/>
          </w:tcPr>
          <w:p>
            <w:r/>
            <w:r>
              <w:rPr>
                <w:b/>
                <w:color w:val="FFFFFF"/>
                <w:sz w:val="21"/>
              </w:rPr>
              <w:t>Participants</w:t>
            </w:r>
          </w:p>
        </w:tc>
        <w:tc>
          <w:tcPr>
            <w:tcW w:type="dxa" w:w="2160"/>
            <w:shd w:val="clear" w:fill="151B2E"/>
          </w:tcPr>
          <w:p>
            <w:r/>
            <w:r>
              <w:rPr>
                <w:b/>
                <w:color w:val="FFFFFF"/>
                <w:sz w:val="21"/>
              </w:rPr>
              <w:t>Expected strength</w:t>
            </w:r>
          </w:p>
        </w:tc>
      </w:tr>
      <w:tr>
        <w:tc>
          <w:tcPr>
            <w:tcW w:type="dxa" w:w="7200"/>
          </w:tcPr>
          <w:p>
            <w:r/>
            <w:r>
              <w:rPr>
                <w:b w:val="0"/>
                <w:sz w:val="20"/>
              </w:rPr>
              <w:t>HR Professionals · TPOs · Placement Coordinators · Academicians · Industry Professionals &amp; Corporates · IEEE Members</w:t>
            </w:r>
          </w:p>
        </w:tc>
        <w:tc>
          <w:tcPr>
            <w:tcW w:type="dxa" w:w="2160"/>
          </w:tcPr>
          <w:p>
            <w:r/>
            <w:r>
              <w:rPr>
                <w:b w:val="0"/>
                <w:sz w:val="20"/>
              </w:rPr>
              <w:t>40–50</w:t>
            </w:r>
          </w:p>
        </w:tc>
      </w:tr>
    </w:tbl>
    <w:p>
      <w:pPr>
        <w:spacing w:before="200" w:after="60"/>
      </w:pPr>
      <w:r>
        <w:rPr>
          <w:b/>
          <w:color w:val="B0882C"/>
          <w:sz w:val="24"/>
        </w:rPr>
        <w:t>Organising Team</w:t>
      </w:r>
    </w:p>
    <w:tbl>
      <w:tblPr>
        <w:tblStyle w:val="TableGrid"/>
        <w:tblW w:type="auto" w:w="0"/>
        <w:tblLook w:firstColumn="1" w:firstRow="1" w:lastColumn="0" w:lastRow="0" w:noHBand="0" w:noVBand="1" w:val="04A0"/>
      </w:tblPr>
      <w:tblGrid>
        <w:gridCol w:w="4320"/>
        <w:gridCol w:w="4320"/>
      </w:tblGrid>
      <w:tr>
        <w:tc>
          <w:tcPr>
            <w:tcW w:type="dxa" w:w="7200"/>
            <w:shd w:val="clear" w:fill="151B2E"/>
          </w:tcPr>
          <w:p>
            <w:r/>
            <w:r>
              <w:rPr>
                <w:b/>
                <w:color w:val="FFFFFF"/>
                <w:sz w:val="21"/>
              </w:rPr>
              <w:t>Team</w:t>
            </w:r>
          </w:p>
        </w:tc>
        <w:tc>
          <w:tcPr>
            <w:tcW w:type="dxa" w:w="2160"/>
            <w:shd w:val="clear" w:fill="151B2E"/>
          </w:tcPr>
          <w:p>
            <w:r/>
            <w:r>
              <w:rPr>
                <w:b/>
                <w:color w:val="FFFFFF"/>
                <w:sz w:val="21"/>
              </w:rPr>
              <w:t>Approx. number</w:t>
            </w:r>
          </w:p>
        </w:tc>
      </w:tr>
      <w:tr>
        <w:tc>
          <w:tcPr>
            <w:tcW w:type="dxa" w:w="7200"/>
          </w:tcPr>
          <w:p>
            <w:r/>
            <w:r>
              <w:rPr>
                <w:b w:val="0"/>
                <w:sz w:val="20"/>
              </w:rPr>
              <w:t>IEEE ExCom Members</w:t>
            </w:r>
          </w:p>
        </w:tc>
        <w:tc>
          <w:tcPr>
            <w:tcW w:type="dxa" w:w="2160"/>
          </w:tcPr>
          <w:p>
            <w:r/>
            <w:r>
              <w:rPr>
                <w:b w:val="0"/>
                <w:sz w:val="20"/>
              </w:rPr>
              <w:t>~10</w:t>
            </w:r>
          </w:p>
        </w:tc>
      </w:tr>
      <w:tr>
        <w:tc>
          <w:tcPr>
            <w:tcW w:type="dxa" w:w="7200"/>
          </w:tcPr>
          <w:p>
            <w:r/>
            <w:r>
              <w:rPr>
                <w:b w:val="0"/>
                <w:sz w:val="20"/>
              </w:rPr>
              <w:t>Volunteers</w:t>
            </w:r>
          </w:p>
        </w:tc>
        <w:tc>
          <w:tcPr>
            <w:tcW w:type="dxa" w:w="2160"/>
          </w:tcPr>
          <w:p>
            <w:r/>
            <w:r>
              <w:rPr>
                <w:b w:val="0"/>
                <w:sz w:val="20"/>
              </w:rPr>
              <w:t>~10</w:t>
            </w:r>
          </w:p>
        </w:tc>
      </w:tr>
    </w:tbl>
    <w:p>
      <w:pPr>
        <w:pBdr>
          <w:bottom w:val="single" w:sz="6" w:space="4" w:color="B0882C"/>
        </w:pBdr>
        <w:spacing w:before="320" w:after="120"/>
      </w:pPr>
      <w:r>
        <w:rPr>
          <w:b/>
          <w:color w:val="151B2E"/>
          <w:sz w:val="30"/>
        </w:rPr>
        <w:t>4.  Programme Flow / Run of Show</w:t>
      </w:r>
    </w:p>
    <w:p>
      <w:pPr>
        <w:spacing w:after="80"/>
      </w:pPr>
      <w:r>
        <w:rPr>
          <w:i/>
          <w:color w:val="555B66"/>
        </w:rPr>
        <w:t>Indicative timeline for the day (tentative — to be confirmed closer to the event):</w:t>
      </w:r>
    </w:p>
    <w:tbl>
      <w:tblPr>
        <w:tblStyle w:val="TableGrid"/>
        <w:tblW w:type="auto" w:w="0"/>
        <w:tblLook w:firstColumn="1" w:firstRow="1" w:lastColumn="0" w:lastRow="0" w:noHBand="0" w:noVBand="1" w:val="04A0"/>
      </w:tblPr>
      <w:tblGrid>
        <w:gridCol w:w="4320"/>
        <w:gridCol w:w="4320"/>
      </w:tblGrid>
      <w:tr>
        <w:tc>
          <w:tcPr>
            <w:tcW w:type="dxa" w:w="2448"/>
            <w:shd w:val="clear" w:fill="151B2E"/>
          </w:tcPr>
          <w:p>
            <w:r/>
            <w:r>
              <w:rPr>
                <w:b/>
                <w:color w:val="FFFFFF"/>
                <w:sz w:val="21"/>
              </w:rPr>
              <w:t>Time</w:t>
            </w:r>
          </w:p>
        </w:tc>
        <w:tc>
          <w:tcPr>
            <w:tcW w:type="dxa" w:w="6912"/>
            <w:shd w:val="clear" w:fill="151B2E"/>
          </w:tcPr>
          <w:p>
            <w:r/>
            <w:r>
              <w:rPr>
                <w:b/>
                <w:color w:val="FFFFFF"/>
                <w:sz w:val="21"/>
              </w:rPr>
              <w:t>Segment</w:t>
            </w:r>
          </w:p>
        </w:tc>
      </w:tr>
      <w:tr>
        <w:tc>
          <w:tcPr>
            <w:tcW w:type="dxa" w:w="2448"/>
          </w:tcPr>
          <w:p>
            <w:r/>
            <w:r>
              <w:rPr>
                <w:b w:val="0"/>
                <w:sz w:val="20"/>
              </w:rPr>
              <w:t>9:00 AM onwards</w:t>
            </w:r>
          </w:p>
        </w:tc>
        <w:tc>
          <w:tcPr>
            <w:tcW w:type="dxa" w:w="6912"/>
          </w:tcPr>
          <w:p>
            <w:r/>
            <w:r>
              <w:rPr>
                <w:b w:val="0"/>
                <w:sz w:val="20"/>
              </w:rPr>
              <w:t>Arrival, registration, IEEE Membership Desk, refreshments &amp; informal networking</w:t>
            </w:r>
          </w:p>
        </w:tc>
      </w:tr>
      <w:tr>
        <w:tc>
          <w:tcPr>
            <w:tcW w:type="dxa" w:w="2448"/>
          </w:tcPr>
          <w:p>
            <w:r/>
            <w:r>
              <w:rPr>
                <w:b w:val="0"/>
                <w:sz w:val="20"/>
              </w:rPr>
              <w:t>9:30 – 10:00 AM</w:t>
            </w:r>
          </w:p>
        </w:tc>
        <w:tc>
          <w:tcPr>
            <w:tcW w:type="dxa" w:w="6912"/>
          </w:tcPr>
          <w:p>
            <w:r/>
            <w:r>
              <w:rPr>
                <w:b w:val="0"/>
                <w:sz w:val="20"/>
              </w:rPr>
              <w:t>Inaugural Session</w:t>
            </w:r>
          </w:p>
        </w:tc>
      </w:tr>
      <w:tr>
        <w:tc>
          <w:tcPr>
            <w:tcW w:type="dxa" w:w="2448"/>
          </w:tcPr>
          <w:p>
            <w:r/>
            <w:r>
              <w:rPr>
                <w:b w:val="0"/>
                <w:sz w:val="20"/>
              </w:rPr>
              <w:t>10:00 – 10:45 AM</w:t>
            </w:r>
          </w:p>
        </w:tc>
        <w:tc>
          <w:tcPr>
            <w:tcW w:type="dxa" w:w="6912"/>
          </w:tcPr>
          <w:p>
            <w:r/>
            <w:r>
              <w:rPr>
                <w:b w:val="0"/>
                <w:sz w:val="20"/>
              </w:rPr>
              <w:t>Leadership Round Table Discussions (3 parallel tables)</w:t>
            </w:r>
          </w:p>
        </w:tc>
      </w:tr>
      <w:tr>
        <w:tc>
          <w:tcPr>
            <w:tcW w:type="dxa" w:w="2448"/>
          </w:tcPr>
          <w:p>
            <w:r/>
            <w:r>
              <w:rPr>
                <w:b w:val="0"/>
                <w:sz w:val="20"/>
              </w:rPr>
              <w:t>10:45 – 11:05 AM</w:t>
            </w:r>
          </w:p>
        </w:tc>
        <w:tc>
          <w:tcPr>
            <w:tcW w:type="dxa" w:w="6912"/>
          </w:tcPr>
          <w:p>
            <w:r/>
            <w:r>
              <w:rPr>
                <w:b w:val="0"/>
                <w:sz w:val="20"/>
              </w:rPr>
              <w:t>Rapid Fire Leadership Exchange</w:t>
            </w:r>
          </w:p>
        </w:tc>
      </w:tr>
      <w:tr>
        <w:tc>
          <w:tcPr>
            <w:tcW w:type="dxa" w:w="2448"/>
          </w:tcPr>
          <w:p>
            <w:r/>
            <w:r>
              <w:rPr>
                <w:b w:val="0"/>
                <w:sz w:val="20"/>
              </w:rPr>
              <w:t>11:05 – 11:20 AM</w:t>
            </w:r>
          </w:p>
        </w:tc>
        <w:tc>
          <w:tcPr>
            <w:tcW w:type="dxa" w:w="6912"/>
          </w:tcPr>
          <w:p>
            <w:r/>
            <w:r>
              <w:rPr>
                <w:b w:val="0"/>
                <w:sz w:val="20"/>
              </w:rPr>
              <w:t>Leadership Insights Presentation (one leader per table)</w:t>
            </w:r>
          </w:p>
        </w:tc>
      </w:tr>
      <w:tr>
        <w:tc>
          <w:tcPr>
            <w:tcW w:type="dxa" w:w="2448"/>
          </w:tcPr>
          <w:p>
            <w:r/>
            <w:r>
              <w:rPr>
                <w:b w:val="0"/>
                <w:sz w:val="20"/>
              </w:rPr>
              <w:t>11:20 – 11:30 AM</w:t>
            </w:r>
          </w:p>
        </w:tc>
        <w:tc>
          <w:tcPr>
            <w:tcW w:type="dxa" w:w="6912"/>
          </w:tcPr>
          <w:p>
            <w:r/>
            <w:r>
              <w:rPr>
                <w:b w:val="0"/>
                <w:sz w:val="20"/>
              </w:rPr>
              <w:t>Moderator Summary &amp; Group Photograph</w:t>
            </w:r>
          </w:p>
        </w:tc>
      </w:tr>
      <w:tr>
        <w:tc>
          <w:tcPr>
            <w:tcW w:type="dxa" w:w="2448"/>
          </w:tcPr>
          <w:p>
            <w:r/>
            <w:r>
              <w:rPr>
                <w:b w:val="0"/>
                <w:sz w:val="20"/>
              </w:rPr>
              <w:t>11:30 – 11:50 AM</w:t>
            </w:r>
          </w:p>
        </w:tc>
        <w:tc>
          <w:tcPr>
            <w:tcW w:type="dxa" w:w="6912"/>
          </w:tcPr>
          <w:p>
            <w:r/>
            <w:r>
              <w:rPr>
                <w:b w:val="0"/>
                <w:sz w:val="20"/>
              </w:rPr>
              <w:t>Tea Break &amp; Transition · Professional entry · IEEE Membership Drive</w:t>
            </w:r>
          </w:p>
        </w:tc>
      </w:tr>
      <w:tr>
        <w:tc>
          <w:tcPr>
            <w:tcW w:type="dxa" w:w="2448"/>
          </w:tcPr>
          <w:p>
            <w:r/>
            <w:r>
              <w:rPr>
                <w:b w:val="0"/>
                <w:sz w:val="20"/>
              </w:rPr>
              <w:t>11:50 – 12:00 PM</w:t>
            </w:r>
          </w:p>
        </w:tc>
        <w:tc>
          <w:tcPr>
            <w:tcW w:type="dxa" w:w="6912"/>
          </w:tcPr>
          <w:p>
            <w:r/>
            <w:r>
              <w:rPr>
                <w:b w:val="0"/>
                <w:sz w:val="20"/>
              </w:rPr>
              <w:t>Opening Address (Session 2)</w:t>
            </w:r>
          </w:p>
        </w:tc>
      </w:tr>
      <w:tr>
        <w:tc>
          <w:tcPr>
            <w:tcW w:type="dxa" w:w="2448"/>
          </w:tcPr>
          <w:p>
            <w:r/>
            <w:r>
              <w:rPr>
                <w:b w:val="0"/>
                <w:sz w:val="20"/>
              </w:rPr>
              <w:t>12:00 – 12:10 PM</w:t>
            </w:r>
          </w:p>
        </w:tc>
        <w:tc>
          <w:tcPr>
            <w:tcW w:type="dxa" w:w="6912"/>
          </w:tcPr>
          <w:p>
            <w:r/>
            <w:r>
              <w:rPr>
                <w:b w:val="0"/>
                <w:sz w:val="20"/>
              </w:rPr>
              <w:t>Ice Breakers &amp; Introductions</w:t>
            </w:r>
          </w:p>
        </w:tc>
      </w:tr>
      <w:tr>
        <w:tc>
          <w:tcPr>
            <w:tcW w:type="dxa" w:w="2448"/>
          </w:tcPr>
          <w:p>
            <w:r/>
            <w:r>
              <w:rPr>
                <w:b w:val="0"/>
                <w:sz w:val="20"/>
              </w:rPr>
              <w:t>12:10 – 12:50 PM</w:t>
            </w:r>
          </w:p>
        </w:tc>
        <w:tc>
          <w:tcPr>
            <w:tcW w:type="dxa" w:w="6912"/>
          </w:tcPr>
          <w:p>
            <w:r/>
            <w:r>
              <w:rPr>
                <w:b w:val="0"/>
                <w:sz w:val="20"/>
              </w:rPr>
              <w:t>Meet &amp; Greet Networking Session</w:t>
            </w:r>
          </w:p>
        </w:tc>
      </w:tr>
      <w:tr>
        <w:tc>
          <w:tcPr>
            <w:tcW w:type="dxa" w:w="2448"/>
          </w:tcPr>
          <w:p>
            <w:r/>
            <w:r>
              <w:rPr>
                <w:b w:val="0"/>
                <w:sz w:val="20"/>
              </w:rPr>
              <w:t>12:50 – 1:00 PM</w:t>
            </w:r>
          </w:p>
        </w:tc>
        <w:tc>
          <w:tcPr>
            <w:tcW w:type="dxa" w:w="6912"/>
          </w:tcPr>
          <w:p>
            <w:r/>
            <w:r>
              <w:rPr>
                <w:b w:val="0"/>
                <w:sz w:val="20"/>
              </w:rPr>
              <w:t>Closing Remarks &amp; Acknowledgements</w:t>
            </w:r>
          </w:p>
        </w:tc>
      </w:tr>
      <w:tr>
        <w:tc>
          <w:tcPr>
            <w:tcW w:type="dxa" w:w="2448"/>
          </w:tcPr>
          <w:p>
            <w:r/>
            <w:r>
              <w:rPr>
                <w:b w:val="0"/>
                <w:sz w:val="20"/>
              </w:rPr>
              <w:t>1:00 PM onwards</w:t>
            </w:r>
          </w:p>
        </w:tc>
        <w:tc>
          <w:tcPr>
            <w:tcW w:type="dxa" w:w="6912"/>
          </w:tcPr>
          <w:p>
            <w:r/>
            <w:r>
              <w:rPr>
                <w:b w:val="0"/>
                <w:sz w:val="20"/>
              </w:rPr>
              <w:t>Lunch &amp; Informal Networking</w:t>
            </w:r>
          </w:p>
        </w:tc>
      </w:tr>
      <w:tr>
        <w:tc>
          <w:tcPr>
            <w:tcW w:type="dxa" w:w="2448"/>
          </w:tcPr>
          <w:p>
            <w:r/>
            <w:r>
              <w:rPr>
                <w:b w:val="0"/>
                <w:sz w:val="20"/>
              </w:rPr>
              <w:t>Post-Lunch</w:t>
            </w:r>
          </w:p>
        </w:tc>
        <w:tc>
          <w:tcPr>
            <w:tcW w:type="dxa" w:w="6912"/>
          </w:tcPr>
          <w:p>
            <w:r/>
            <w:r>
              <w:rPr>
                <w:b w:val="0"/>
                <w:sz w:val="20"/>
              </w:rPr>
              <w:t>IEEE Computer Society 80 Years Celebration</w:t>
            </w:r>
          </w:p>
        </w:tc>
      </w:tr>
    </w:tbl>
    <w:p>
      <w:pPr>
        <w:pBdr>
          <w:bottom w:val="single" w:sz="6" w:space="4" w:color="B0882C"/>
        </w:pBdr>
        <w:spacing w:before="320" w:after="120"/>
      </w:pPr>
      <w:r>
        <w:rPr>
          <w:b/>
          <w:color w:val="151B2E"/>
          <w:sz w:val="30"/>
        </w:rPr>
        <w:t>5.  Session 1 — Leadership Round Table Conference</w:t>
      </w:r>
    </w:p>
    <w:p>
      <w:pPr>
        <w:spacing w:before="200" w:after="60"/>
      </w:pPr>
      <w:r>
        <w:rPr>
          <w:b/>
          <w:color w:val="B0882C"/>
          <w:sz w:val="24"/>
        </w:rPr>
        <w:t>Arrival &amp; Welcome — 9:00 AM onwards</w:t>
      </w:r>
    </w:p>
    <w:p>
      <w:pPr>
        <w:pStyle w:val="ListBullet"/>
        <w:spacing w:after="40"/>
      </w:pPr>
      <w:r>
        <w:t>Registration Desk open.</w:t>
      </w:r>
    </w:p>
    <w:p>
      <w:pPr>
        <w:pStyle w:val="ListBullet"/>
        <w:spacing w:after="40"/>
      </w:pPr>
      <w:r>
        <w:t>IEEE Membership Desk open.</w:t>
      </w:r>
    </w:p>
    <w:p>
      <w:pPr>
        <w:pStyle w:val="ListBullet"/>
        <w:spacing w:after="40"/>
      </w:pPr>
      <w:r>
        <w:t>Welcome refreshments and snacks for leaders.</w:t>
      </w:r>
    </w:p>
    <w:p>
      <w:pPr>
        <w:pStyle w:val="ListBullet"/>
        <w:spacing w:after="40"/>
      </w:pPr>
      <w:r>
        <w:t>Informal networking.</w:t>
      </w:r>
    </w:p>
    <w:p>
      <w:pPr>
        <w:pStyle w:val="ListBullet"/>
        <w:spacing w:after="40"/>
      </w:pPr>
      <w:r>
        <w:t>Distribution of ID cards and event kits.</w:t>
      </w:r>
    </w:p>
    <w:p>
      <w:pPr>
        <w:spacing w:before="200" w:after="60"/>
      </w:pPr>
      <w:r>
        <w:rPr>
          <w:b/>
          <w:color w:val="B0882C"/>
          <w:sz w:val="24"/>
        </w:rPr>
        <w:t>Inaugural Session — 9:30 AM to 10:00 AM</w:t>
      </w:r>
    </w:p>
    <w:tbl>
      <w:tblPr>
        <w:tblStyle w:val="TableGrid"/>
        <w:tblW w:type="auto" w:w="0"/>
        <w:tblLook w:firstColumn="1" w:firstRow="1" w:lastColumn="0" w:lastRow="0" w:noHBand="0" w:noVBand="1" w:val="04A0"/>
      </w:tblPr>
      <w:tblGrid>
        <w:gridCol w:w="4320"/>
        <w:gridCol w:w="4320"/>
      </w:tblGrid>
      <w:tr>
        <w:tc>
          <w:tcPr>
            <w:tcW w:type="dxa" w:w="2448"/>
            <w:shd w:val="clear" w:fill="151B2E"/>
          </w:tcPr>
          <w:p>
            <w:r/>
            <w:r>
              <w:rPr>
                <w:b/>
                <w:color w:val="FFFFFF"/>
                <w:sz w:val="21"/>
              </w:rPr>
              <w:t>Time</w:t>
            </w:r>
          </w:p>
        </w:tc>
        <w:tc>
          <w:tcPr>
            <w:tcW w:type="dxa" w:w="6912"/>
            <w:shd w:val="clear" w:fill="151B2E"/>
          </w:tcPr>
          <w:p>
            <w:r/>
            <w:r>
              <w:rPr>
                <w:b/>
                <w:color w:val="FFFFFF"/>
                <w:sz w:val="21"/>
              </w:rPr>
              <w:t>Programme</w:t>
            </w:r>
          </w:p>
        </w:tc>
      </w:tr>
      <w:tr>
        <w:tc>
          <w:tcPr>
            <w:tcW w:type="dxa" w:w="2448"/>
          </w:tcPr>
          <w:p>
            <w:r/>
            <w:r>
              <w:rPr>
                <w:b w:val="0"/>
                <w:sz w:val="20"/>
              </w:rPr>
              <w:t>9:30 – 9:45 AM</w:t>
            </w:r>
          </w:p>
        </w:tc>
        <w:tc>
          <w:tcPr>
            <w:tcW w:type="dxa" w:w="6912"/>
          </w:tcPr>
          <w:p>
            <w:r/>
            <w:r>
              <w:rPr>
                <w:b w:val="0"/>
                <w:sz w:val="20"/>
              </w:rPr>
              <w:t>Inauguration · Welcome Address · Introduction to IEEE CS Pro</w:t>
            </w:r>
          </w:p>
        </w:tc>
      </w:tr>
      <w:tr>
        <w:tc>
          <w:tcPr>
            <w:tcW w:type="dxa" w:w="2448"/>
          </w:tcPr>
          <w:p>
            <w:r/>
            <w:r>
              <w:rPr>
                <w:b w:val="0"/>
                <w:sz w:val="20"/>
              </w:rPr>
              <w:t>9:45 – 9:55 AM</w:t>
            </w:r>
          </w:p>
        </w:tc>
        <w:tc>
          <w:tcPr>
            <w:tcW w:type="dxa" w:w="6912"/>
          </w:tcPr>
          <w:p>
            <w:r/>
            <w:r>
              <w:rPr>
                <w:b w:val="0"/>
                <w:sz w:val="20"/>
              </w:rPr>
              <w:t>Remarks by IEEE Dignitaries / ExCom Members</w:t>
            </w:r>
          </w:p>
        </w:tc>
      </w:tr>
      <w:tr>
        <w:tc>
          <w:tcPr>
            <w:tcW w:type="dxa" w:w="2448"/>
          </w:tcPr>
          <w:p>
            <w:r/>
            <w:r>
              <w:rPr>
                <w:b w:val="0"/>
                <w:sz w:val="20"/>
              </w:rPr>
              <w:t>9:55 – 10:00 AM</w:t>
            </w:r>
          </w:p>
        </w:tc>
        <w:tc>
          <w:tcPr>
            <w:tcW w:type="dxa" w:w="6912"/>
          </w:tcPr>
          <w:p>
            <w:r/>
            <w:r>
              <w:rPr>
                <w:b w:val="0"/>
                <w:sz w:val="20"/>
              </w:rPr>
              <w:t>Round Table Briefing · Discussion Guidelines · Table Allocation Instructions</w:t>
            </w:r>
          </w:p>
        </w:tc>
      </w:tr>
    </w:tbl>
    <w:p>
      <w:pPr>
        <w:spacing w:before="200" w:after="60"/>
      </w:pPr>
      <w:r>
        <w:rPr>
          <w:b/>
          <w:color w:val="B0882C"/>
          <w:sz w:val="24"/>
        </w:rPr>
        <w:t>Leadership Round Table Conference — 10:00 AM to 11:30 AM</w:t>
      </w:r>
    </w:p>
    <w:p>
      <w:pPr>
        <w:spacing w:before="160" w:after="40"/>
      </w:pPr>
      <w:r>
        <w:rPr>
          <w:b/>
          <w:color w:val="151B2E"/>
          <w:sz w:val="22"/>
        </w:rPr>
        <w:t>Seating Format</w:t>
      </w:r>
    </w:p>
    <w:p>
      <w:pPr>
        <w:pStyle w:val="ListBullet"/>
        <w:spacing w:after="40"/>
      </w:pPr>
      <w:r>
        <w:t>Leaders seated at dedicated round tables positioned at the front.</w:t>
      </w:r>
    </w:p>
    <w:p>
      <w:pPr>
        <w:pStyle w:val="ListBullet"/>
        <w:spacing w:after="40"/>
      </w:pPr>
      <w:r>
        <w:t>Goodies presented warmly at each table.</w:t>
      </w:r>
    </w:p>
    <w:p>
      <w:pPr>
        <w:pStyle w:val="ListBullet"/>
        <w:spacing w:after="40"/>
      </w:pPr>
      <w:r>
        <w:t>One volunteer assigned to every table for coordination and documentation.</w:t>
      </w:r>
    </w:p>
    <w:p>
      <w:pPr>
        <w:pStyle w:val="ListBullet"/>
        <w:spacing w:after="40"/>
      </w:pPr>
      <w:r>
        <w:t>IEEE ExCom members distributed across tables as facilitators.</w:t>
      </w:r>
    </w:p>
    <w:p>
      <w:pPr>
        <w:spacing w:before="160" w:after="40"/>
      </w:pPr>
      <w:r>
        <w:rPr>
          <w:b/>
          <w:color w:val="151B2E"/>
          <w:sz w:val="22"/>
        </w:rPr>
        <w:t>Round Table Discussions</w:t>
      </w:r>
    </w:p>
    <w:p>
      <w:pPr>
        <w:spacing w:after="80"/>
      </w:pPr>
      <w:r>
        <w:rPr>
          <w:i w:val="0"/>
        </w:rPr>
        <w:t>The leadership session consists of three parallel round table discussions.</w:t>
      </w:r>
    </w:p>
    <w:p>
      <w:pPr>
        <w:spacing w:before="160" w:after="40"/>
      </w:pPr>
      <w:r>
        <w:rPr>
          <w:b/>
          <w:color w:val="151B2E"/>
          <w:sz w:val="22"/>
        </w:rPr>
        <w:t>Round Table 1 — Driving Organisational Transformation</w:t>
      </w:r>
    </w:p>
    <w:p>
      <w:pPr>
        <w:spacing w:after="80"/>
      </w:pPr>
      <w:r>
        <w:rPr>
          <w:i/>
          <w:color w:val="555B66"/>
        </w:rPr>
        <w:t>Actions Taken, Changes Implemented &amp; Outcomes Achieved.</w:t>
      </w:r>
    </w:p>
    <w:p>
      <w:pPr>
        <w:spacing w:after="80"/>
      </w:pPr>
      <w:r>
        <w:rPr>
          <w:i w:val="0"/>
        </w:rPr>
        <w:t>Discussion focus:</w:t>
      </w:r>
    </w:p>
    <w:p>
      <w:pPr>
        <w:pStyle w:val="ListBullet"/>
        <w:spacing w:after="40"/>
      </w:pPr>
      <w:r>
        <w:t>What significant changes are currently taking place within organisations?</w:t>
      </w:r>
    </w:p>
    <w:p>
      <w:pPr>
        <w:pStyle w:val="ListBullet"/>
        <w:spacing w:after="40"/>
      </w:pPr>
      <w:r>
        <w:t>What initiatives have already been implemented?</w:t>
      </w:r>
    </w:p>
    <w:p>
      <w:pPr>
        <w:pStyle w:val="ListBullet"/>
        <w:spacing w:after="40"/>
      </w:pPr>
      <w:r>
        <w:t>What strategic actions have been taken?</w:t>
      </w:r>
    </w:p>
    <w:p>
      <w:pPr>
        <w:pStyle w:val="ListBullet"/>
        <w:spacing w:after="40"/>
      </w:pPr>
      <w:r>
        <w:t>What measurable outcomes, lessons and insights have emerged?</w:t>
      </w:r>
    </w:p>
    <w:p>
      <w:pPr>
        <w:spacing w:after="80"/>
      </w:pPr>
      <w:r>
        <w:rPr>
          <w:i/>
        </w:rPr>
        <w:t xml:space="preserve">Expected outcome: </w:t>
      </w:r>
    </w:p>
    <w:p>
      <w:pPr>
        <w:pStyle w:val="ListBullet"/>
        <w:spacing w:after="40"/>
      </w:pPr>
      <w:r>
        <w:t>Practical industry insights and real-world case studies that can inspire transformation across sectors.</w:t>
      </w:r>
    </w:p>
    <w:p>
      <w:pPr>
        <w:spacing w:before="160" w:after="40"/>
      </w:pPr>
      <w:r>
        <w:rPr>
          <w:b/>
          <w:color w:val="151B2E"/>
          <w:sz w:val="22"/>
        </w:rPr>
        <w:t>Round Table 2 — Building the AI-Ready Workforce</w:t>
      </w:r>
    </w:p>
    <w:p>
      <w:pPr>
        <w:spacing w:after="80"/>
      </w:pPr>
      <w:r>
        <w:rPr>
          <w:i/>
          <w:color w:val="555B66"/>
        </w:rPr>
        <w:t>How Startups &amp; Industry Can Build the AI-Ready Workforce Together.</w:t>
      </w:r>
    </w:p>
    <w:p>
      <w:pPr>
        <w:spacing w:after="80"/>
      </w:pPr>
      <w:r>
        <w:rPr>
          <w:i w:val="0"/>
        </w:rPr>
        <w:t>Discussion focus:</w:t>
      </w:r>
    </w:p>
    <w:p>
      <w:pPr>
        <w:pStyle w:val="ListBullet"/>
        <w:spacing w:after="40"/>
      </w:pPr>
      <w:r>
        <w:t>Academia–industry collaboration.</w:t>
      </w:r>
    </w:p>
    <w:p>
      <w:pPr>
        <w:pStyle w:val="ListBullet"/>
        <w:spacing w:after="40"/>
      </w:pPr>
      <w:r>
        <w:t>Internships and experiential learning.</w:t>
      </w:r>
    </w:p>
    <w:p>
      <w:pPr>
        <w:pStyle w:val="ListBullet"/>
        <w:spacing w:after="40"/>
      </w:pPr>
      <w:r>
        <w:t>Curriculum modernisation.</w:t>
      </w:r>
    </w:p>
    <w:p>
      <w:pPr>
        <w:pStyle w:val="ListBullet"/>
        <w:spacing w:after="40"/>
      </w:pPr>
      <w:r>
        <w:t>Future hiring expectations.</w:t>
      </w:r>
    </w:p>
    <w:p>
      <w:pPr>
        <w:pStyle w:val="ListBullet"/>
        <w:spacing w:after="40"/>
      </w:pPr>
      <w:r>
        <w:t>Industry participation in workforce development.</w:t>
      </w:r>
    </w:p>
    <w:p>
      <w:pPr>
        <w:spacing w:after="80"/>
      </w:pPr>
      <w:r>
        <w:rPr>
          <w:i/>
        </w:rPr>
        <w:t xml:space="preserve">Expected outcome: </w:t>
      </w:r>
    </w:p>
    <w:p>
      <w:pPr>
        <w:pStyle w:val="ListBullet"/>
        <w:spacing w:after="40"/>
      </w:pPr>
      <w:r>
        <w:t>Actionable recommendations for institutions, employers and ecosystem stakeholders.</w:t>
      </w:r>
    </w:p>
    <w:p>
      <w:pPr>
        <w:spacing w:before="160" w:after="40"/>
      </w:pPr>
      <w:r>
        <w:rPr>
          <w:b/>
          <w:color w:val="151B2E"/>
          <w:sz w:val="22"/>
        </w:rPr>
        <w:t>Round Table 3 — Beyond the Machine</w:t>
      </w:r>
    </w:p>
    <w:p>
      <w:pPr>
        <w:spacing w:after="80"/>
      </w:pPr>
      <w:r>
        <w:rPr>
          <w:i/>
          <w:color w:val="555B66"/>
        </w:rPr>
        <w:t>Building Human-Centred, Ethical &amp; Purpose-Driven Innovation.</w:t>
      </w:r>
    </w:p>
    <w:p>
      <w:pPr>
        <w:spacing w:after="80"/>
      </w:pPr>
      <w:r>
        <w:rPr>
          <w:i w:val="0"/>
        </w:rPr>
        <w:t>Discussion focus:</w:t>
      </w:r>
    </w:p>
    <w:p>
      <w:pPr>
        <w:pStyle w:val="ListBullet"/>
        <w:spacing w:after="40"/>
      </w:pPr>
      <w:r>
        <w:t>What differentiates great organisations beyond technological advancement?</w:t>
      </w:r>
    </w:p>
    <w:p>
      <w:pPr>
        <w:pStyle w:val="ListBullet"/>
        <w:spacing w:after="40"/>
      </w:pPr>
      <w:r>
        <w:t>How can soul, responsibility and human values be embedded into innovation?</w:t>
      </w:r>
    </w:p>
    <w:p>
      <w:pPr>
        <w:pStyle w:val="ListBullet"/>
        <w:spacing w:after="40"/>
      </w:pPr>
      <w:r>
        <w:t>What role do leadership, culture, trust and purpose play in an AI-driven world?</w:t>
      </w:r>
    </w:p>
    <w:p>
      <w:pPr>
        <w:pStyle w:val="ListBullet"/>
        <w:spacing w:after="40"/>
      </w:pPr>
      <w:r>
        <w:t>How can organisations ensure technology serves humanity rather than merely advancing capability?</w:t>
      </w:r>
    </w:p>
    <w:p>
      <w:pPr>
        <w:pStyle w:val="ListBullet"/>
        <w:spacing w:after="40"/>
      </w:pPr>
      <w:r>
        <w:t>What uniquely human qualities should be preserved and strengthened as AI becomes more capable?</w:t>
      </w:r>
    </w:p>
    <w:p>
      <w:pPr>
        <w:spacing w:after="80"/>
      </w:pPr>
      <w:r>
        <w:rPr>
          <w:i/>
        </w:rPr>
        <w:t xml:space="preserve">Expected outcome: </w:t>
      </w:r>
    </w:p>
    <w:p>
      <w:pPr>
        <w:pStyle w:val="ListBullet"/>
        <w:spacing w:after="40"/>
      </w:pPr>
      <w:r>
        <w:t>A deeper understanding of the human, ethical and purpose-driven dimensions required to thrive in an AI-powered future.</w:t>
      </w:r>
    </w:p>
    <w:p>
      <w:pPr>
        <w:spacing w:before="200" w:after="60"/>
      </w:pPr>
      <w:r>
        <w:rPr>
          <w:b/>
          <w:color w:val="B0882C"/>
          <w:sz w:val="24"/>
        </w:rPr>
        <w:t>Leadership Insights &amp; Knowledge Sharing</w:t>
      </w:r>
    </w:p>
    <w:p>
      <w:pPr>
        <w:spacing w:before="160" w:after="40"/>
      </w:pPr>
      <w:r>
        <w:rPr>
          <w:b/>
          <w:color w:val="151B2E"/>
          <w:sz w:val="22"/>
        </w:rPr>
        <w:t>10:45 – 11:05 AM · Rapid Fire Leadership Exchange</w:t>
      </w:r>
    </w:p>
    <w:p>
      <w:pPr>
        <w:pStyle w:val="ListBullet"/>
        <w:spacing w:after="40"/>
      </w:pPr>
      <w:r>
        <w:t>Moderated rapid-fire discussion involving all leaders.</w:t>
      </w:r>
    </w:p>
    <w:p>
      <w:pPr>
        <w:pStyle w:val="ListBullet"/>
        <w:spacing w:after="40"/>
      </w:pPr>
      <w:r>
        <w:t>Reflections from each table.</w:t>
      </w:r>
    </w:p>
    <w:p>
      <w:pPr>
        <w:pStyle w:val="ListBullet"/>
        <w:spacing w:after="40"/>
      </w:pPr>
      <w:r>
        <w:t>Emerging trends, opportunities and challenges.</w:t>
      </w:r>
    </w:p>
    <w:p>
      <w:pPr>
        <w:spacing w:before="160" w:after="40"/>
      </w:pPr>
      <w:r>
        <w:rPr>
          <w:b/>
          <w:color w:val="151B2E"/>
          <w:sz w:val="22"/>
        </w:rPr>
        <w:t>11:05 – 11:20 AM · Leadership Insights Presentation</w:t>
      </w:r>
    </w:p>
    <w:p>
      <w:pPr>
        <w:spacing w:after="80"/>
      </w:pPr>
      <w:r>
        <w:rPr>
          <w:i w:val="0"/>
        </w:rPr>
        <w:t>Organisers nominate one representative leader from each table to present key insights, recommendations and takeaways. Format: 3 leaders, 5 minutes each.</w:t>
      </w:r>
    </w:p>
    <w:p>
      <w:pPr>
        <w:spacing w:before="160" w:after="40"/>
      </w:pPr>
      <w:r>
        <w:rPr>
          <w:b/>
          <w:color w:val="151B2E"/>
          <w:sz w:val="22"/>
        </w:rPr>
        <w:t>11:20 – 11:30 AM · Moderator Summary &amp; Group Photograph</w:t>
      </w:r>
    </w:p>
    <w:p>
      <w:pPr>
        <w:pStyle w:val="ListBullet"/>
        <w:spacing w:after="40"/>
      </w:pPr>
      <w:r>
        <w:t>Consolidated event insights.</w:t>
      </w:r>
    </w:p>
    <w:p>
      <w:pPr>
        <w:pStyle w:val="ListBullet"/>
        <w:spacing w:after="40"/>
      </w:pPr>
      <w:r>
        <w:t>Group photograph.</w:t>
      </w:r>
    </w:p>
    <w:p>
      <w:pPr>
        <w:pStyle w:val="ListBullet"/>
        <w:spacing w:after="40"/>
      </w:pPr>
      <w:r>
        <w:t>Transition to the networking session.</w:t>
      </w:r>
    </w:p>
    <w:p>
      <w:pPr>
        <w:pBdr>
          <w:bottom w:val="single" w:sz="6" w:space="4" w:color="B0882C"/>
        </w:pBdr>
        <w:spacing w:before="320" w:after="120"/>
      </w:pPr>
      <w:r>
        <w:rPr>
          <w:b/>
          <w:color w:val="151B2E"/>
          <w:sz w:val="30"/>
        </w:rPr>
        <w:t>6.  Tea Break &amp; Transition — 11:30 AM to 11:50 AM</w:t>
      </w:r>
    </w:p>
    <w:p>
      <w:pPr>
        <w:pStyle w:val="ListBullet"/>
        <w:spacing w:after="40"/>
      </w:pPr>
      <w:r>
        <w:t>Tea and refreshments.</w:t>
      </w:r>
    </w:p>
    <w:p>
      <w:pPr>
        <w:pStyle w:val="ListBullet"/>
        <w:spacing w:after="40"/>
      </w:pPr>
      <w:r>
        <w:t>Professional entry and registrations.</w:t>
      </w:r>
    </w:p>
    <w:p>
      <w:pPr>
        <w:pStyle w:val="ListBullet"/>
        <w:spacing w:after="40"/>
      </w:pPr>
      <w:r>
        <w:t>IEEE Membership Drive.</w:t>
      </w:r>
    </w:p>
    <w:p>
      <w:pPr>
        <w:pStyle w:val="ListBullet"/>
        <w:spacing w:after="40"/>
      </w:pPr>
      <w:r>
        <w:t>Informal interactions between leaders and attendees.</w:t>
      </w:r>
    </w:p>
    <w:p>
      <w:pPr>
        <w:pBdr>
          <w:bottom w:val="single" w:sz="6" w:space="4" w:color="B0882C"/>
        </w:pBdr>
        <w:spacing w:before="320" w:after="120"/>
      </w:pPr>
      <w:r>
        <w:rPr>
          <w:b/>
          <w:color w:val="151B2E"/>
          <w:sz w:val="30"/>
        </w:rPr>
        <w:t>7.  Session 2 — CS Professional Connect</w:t>
      </w:r>
    </w:p>
    <w:p>
      <w:pPr>
        <w:spacing w:after="80"/>
      </w:pPr>
      <w:r>
        <w:rPr>
          <w:i w:val="0"/>
          <w:color w:val="555B66"/>
        </w:rPr>
        <w:t>Time: 11:50 AM – 1:00 PM</w:t>
      </w:r>
    </w:p>
    <w:p>
      <w:pPr>
        <w:spacing w:before="200" w:after="60"/>
      </w:pPr>
      <w:r>
        <w:rPr>
          <w:b/>
          <w:color w:val="B0882C"/>
          <w:sz w:val="24"/>
        </w:rPr>
        <w:t>Participants</w:t>
      </w:r>
    </w:p>
    <w:p>
      <w:pPr>
        <w:spacing w:after="80"/>
      </w:pPr>
      <w:r>
        <w:rPr>
          <w:i w:val="0"/>
        </w:rPr>
        <w:t>Professionals · HRs · TPOs · Placement Coordinators · Academicians · Industry Leaders · IEEE Members</w:t>
      </w:r>
    </w:p>
    <w:p>
      <w:pPr>
        <w:spacing w:before="200" w:after="60"/>
      </w:pPr>
      <w:r>
        <w:rPr>
          <w:b/>
          <w:color w:val="B0882C"/>
          <w:sz w:val="24"/>
        </w:rPr>
        <w:t>Seating Arrangement</w:t>
      </w:r>
    </w:p>
    <w:p>
      <w:pPr>
        <w:pStyle w:val="ListBullet"/>
        <w:spacing w:after="40"/>
      </w:pPr>
      <w:r>
        <w:t>Leaders remain seated at designated front tables.</w:t>
      </w:r>
    </w:p>
    <w:p>
      <w:pPr>
        <w:pStyle w:val="ListBullet"/>
        <w:spacing w:after="40"/>
      </w:pPr>
      <w:r>
        <w:t>Professionals seated in an audience-style arrangement.</w:t>
      </w:r>
    </w:p>
    <w:p>
      <w:pPr>
        <w:spacing w:before="200" w:after="60"/>
      </w:pPr>
      <w:r>
        <w:rPr>
          <w:b/>
          <w:color w:val="B0882C"/>
          <w:sz w:val="24"/>
        </w:rPr>
        <w:t>Opening Address — 11:50 AM to 12:00 PM</w:t>
      </w:r>
    </w:p>
    <w:p>
      <w:pPr>
        <w:spacing w:after="80"/>
      </w:pPr>
      <w:r>
        <w:rPr>
          <w:i w:val="0"/>
        </w:rPr>
        <w:t>Delivered by an IEEE ExCom Member.</w:t>
      </w:r>
    </w:p>
    <w:p>
      <w:pPr>
        <w:spacing w:after="80"/>
      </w:pPr>
      <w:r>
        <w:rPr>
          <w:i/>
        </w:rPr>
        <w:t>Theme: Navigating a Changing World Together — Responding to Emerging Global and Technological Challenges across industry, society and the geopolitical landscape.</w:t>
      </w:r>
    </w:p>
    <w:p>
      <w:pPr>
        <w:spacing w:after="80"/>
      </w:pPr>
      <w:r>
        <w:rPr>
          <w:i w:val="0"/>
        </w:rPr>
        <w:t>Focus areas:</w:t>
      </w:r>
    </w:p>
    <w:p>
      <w:pPr>
        <w:pStyle w:val="ListBullet"/>
        <w:spacing w:after="40"/>
      </w:pPr>
      <w:r>
        <w:t>Rapid technological transformation.</w:t>
      </w:r>
    </w:p>
    <w:p>
      <w:pPr>
        <w:pStyle w:val="ListBullet"/>
        <w:spacing w:after="40"/>
      </w:pPr>
      <w:r>
        <w:t>AI-driven disruption.</w:t>
      </w:r>
    </w:p>
    <w:p>
      <w:pPr>
        <w:pStyle w:val="ListBullet"/>
        <w:spacing w:after="40"/>
      </w:pPr>
      <w:r>
        <w:t>Workforce readiness.</w:t>
      </w:r>
    </w:p>
    <w:p>
      <w:pPr>
        <w:pStyle w:val="ListBullet"/>
        <w:spacing w:after="40"/>
      </w:pPr>
      <w:r>
        <w:t>Responsible innovation.</w:t>
      </w:r>
    </w:p>
    <w:p>
      <w:pPr>
        <w:pStyle w:val="ListBullet"/>
        <w:spacing w:after="40"/>
      </w:pPr>
      <w:r>
        <w:t>Importance of collaboration across sectors.</w:t>
      </w:r>
    </w:p>
    <w:p>
      <w:pPr>
        <w:pStyle w:val="ListBullet"/>
        <w:spacing w:after="40"/>
      </w:pPr>
      <w:r>
        <w:t>Current global developments and their impact on industries, institutions and society.</w:t>
      </w:r>
    </w:p>
    <w:p>
      <w:pPr>
        <w:pStyle w:val="ListBullet"/>
        <w:spacing w:after="40"/>
      </w:pPr>
      <w:r>
        <w:t>How industry, academia and professional communities can work together to address shared challenges.</w:t>
      </w:r>
    </w:p>
    <w:p>
      <w:pPr>
        <w:spacing w:before="200" w:after="60"/>
      </w:pPr>
      <w:r>
        <w:rPr>
          <w:b/>
          <w:color w:val="B0882C"/>
          <w:sz w:val="24"/>
        </w:rPr>
        <w:t>Engagement &amp; Networking Activities</w:t>
      </w:r>
    </w:p>
    <w:p>
      <w:pPr>
        <w:spacing w:before="160" w:after="40"/>
      </w:pPr>
      <w:r>
        <w:rPr>
          <w:b/>
          <w:color w:val="151B2E"/>
          <w:sz w:val="22"/>
        </w:rPr>
        <w:t>12:00 – 12:10 PM · Ice Breakers &amp; Introductions</w:t>
      </w:r>
    </w:p>
    <w:p>
      <w:pPr>
        <w:pStyle w:val="ListBullet"/>
        <w:spacing w:after="40"/>
      </w:pPr>
      <w:r>
        <w:t>Structured networking activities.</w:t>
      </w:r>
    </w:p>
    <w:p>
      <w:pPr>
        <w:pStyle w:val="ListBullet"/>
        <w:spacing w:after="40"/>
      </w:pPr>
      <w:r>
        <w:t>Participant introductions.</w:t>
      </w:r>
    </w:p>
    <w:p>
      <w:pPr>
        <w:pStyle w:val="ListBullet"/>
        <w:spacing w:after="40"/>
      </w:pPr>
      <w:r>
        <w:t>Cross-sector engagement.</w:t>
      </w:r>
    </w:p>
    <w:p>
      <w:pPr>
        <w:spacing w:before="160" w:after="40"/>
      </w:pPr>
      <w:r>
        <w:rPr>
          <w:b/>
          <w:color w:val="151B2E"/>
          <w:sz w:val="22"/>
        </w:rPr>
        <w:t>12:10 – 12:50 PM · Meet &amp; Greet Networking Session</w:t>
      </w:r>
    </w:p>
    <w:p>
      <w:pPr>
        <w:pStyle w:val="ListBullet"/>
        <w:spacing w:after="40"/>
      </w:pPr>
      <w:r>
        <w:t>Open networking.</w:t>
      </w:r>
    </w:p>
    <w:p>
      <w:pPr>
        <w:pStyle w:val="ListBullet"/>
        <w:spacing w:after="40"/>
      </w:pPr>
      <w:r>
        <w:t>Industry–academia interactions.</w:t>
      </w:r>
    </w:p>
    <w:p>
      <w:pPr>
        <w:pStyle w:val="ListBullet"/>
        <w:spacing w:after="40"/>
      </w:pPr>
      <w:r>
        <w:t>HR and placement discussions.</w:t>
      </w:r>
    </w:p>
    <w:p>
      <w:pPr>
        <w:pStyle w:val="ListBullet"/>
        <w:spacing w:after="40"/>
      </w:pPr>
      <w:r>
        <w:t>Collaboration opportunities.</w:t>
      </w:r>
    </w:p>
    <w:p>
      <w:pPr>
        <w:pStyle w:val="ListBullet"/>
        <w:spacing w:after="40"/>
      </w:pPr>
      <w:r>
        <w:t>IEEE membership engagement.</w:t>
      </w:r>
    </w:p>
    <w:p>
      <w:pPr>
        <w:spacing w:after="80"/>
      </w:pPr>
      <w:r>
        <w:rPr>
          <w:i/>
        </w:rPr>
        <w:t>Objective: to facilitate meaningful conversations and long-term professional connections among all stakeholders.</w:t>
      </w:r>
    </w:p>
    <w:p>
      <w:pPr>
        <w:spacing w:before="200" w:after="60"/>
      </w:pPr>
      <w:r>
        <w:rPr>
          <w:b/>
          <w:color w:val="B0882C"/>
          <w:sz w:val="24"/>
        </w:rPr>
        <w:t>Closing &amp; Lunch — 12:50 PM to 1:00 PM</w:t>
      </w:r>
    </w:p>
    <w:p>
      <w:pPr>
        <w:pStyle w:val="ListBullet"/>
        <w:spacing w:after="40"/>
      </w:pPr>
      <w:r>
        <w:t>Closing Remarks.</w:t>
      </w:r>
    </w:p>
    <w:p>
      <w:pPr>
        <w:pStyle w:val="ListBullet"/>
        <w:spacing w:after="40"/>
      </w:pPr>
      <w:r>
        <w:t>Acknowledgements.</w:t>
      </w:r>
    </w:p>
    <w:p>
      <w:pPr>
        <w:pStyle w:val="ListBullet"/>
        <w:spacing w:after="40"/>
      </w:pPr>
      <w:r>
        <w:t>Group Announcements.</w:t>
      </w:r>
    </w:p>
    <w:p>
      <w:pPr>
        <w:spacing w:after="80"/>
      </w:pPr>
      <w:r>
        <w:rPr>
          <w:i w:val="0"/>
        </w:rPr>
        <w:t>1:00 PM onwards — Lunch &amp; informal networking for leaders, professionals, IEEE ExCom members and volunteers.</w:t>
      </w:r>
    </w:p>
    <w:p>
      <w:pPr>
        <w:pBdr>
          <w:bottom w:val="single" w:sz="6" w:space="4" w:color="B0882C"/>
        </w:pBdr>
        <w:spacing w:before="320" w:after="120"/>
      </w:pPr>
      <w:r>
        <w:rPr>
          <w:b/>
          <w:color w:val="151B2E"/>
          <w:sz w:val="30"/>
        </w:rPr>
        <w:t>8.  Post-Lunch — IEEE Computer Society 80 Years Celebration</w:t>
      </w:r>
    </w:p>
    <w:p>
      <w:pPr>
        <w:spacing w:after="80"/>
      </w:pPr>
      <w:r>
        <w:rPr>
          <w:i w:val="0"/>
        </w:rPr>
        <w:t>Following lunch, the venue and stage transition to the IEEE Computer Society 80 Years Celebration programme.</w:t>
      </w:r>
    </w:p>
    <w:p>
      <w:pPr>
        <w:pBdr>
          <w:bottom w:val="single" w:sz="6" w:space="4" w:color="B0882C"/>
        </w:pBdr>
        <w:spacing w:before="320" w:after="120"/>
      </w:pPr>
      <w:r>
        <w:rPr>
          <w:b/>
          <w:color w:val="151B2E"/>
          <w:sz w:val="30"/>
        </w:rPr>
        <w:t>9.  Registration Strategy — Two Separate Tracks</w:t>
      </w:r>
    </w:p>
    <w:tbl>
      <w:tblPr>
        <w:tblStyle w:val="TableGrid"/>
        <w:tblW w:type="auto" w:w="0"/>
        <w:tblLook w:firstColumn="1" w:firstRow="1" w:lastColumn="0" w:lastRow="0" w:noHBand="0" w:noVBand="1" w:val="04A0"/>
      </w:tblPr>
      <w:tblGrid>
        <w:gridCol w:w="4320"/>
        <w:gridCol w:w="4320"/>
      </w:tblGrid>
      <w:tr>
        <w:tc>
          <w:tcPr>
            <w:tcW w:type="dxa" w:w="3744"/>
            <w:shd w:val="clear" w:fill="151B2E"/>
          </w:tcPr>
          <w:p>
            <w:r/>
            <w:r>
              <w:rPr>
                <w:b/>
                <w:color w:val="FFFFFF"/>
                <w:sz w:val="21"/>
              </w:rPr>
              <w:t>Form</w:t>
            </w:r>
          </w:p>
        </w:tc>
        <w:tc>
          <w:tcPr>
            <w:tcW w:type="dxa" w:w="5616"/>
            <w:shd w:val="clear" w:fill="151B2E"/>
          </w:tcPr>
          <w:p>
            <w:r/>
            <w:r>
              <w:rPr>
                <w:b/>
                <w:color w:val="FFFFFF"/>
                <w:sz w:val="21"/>
              </w:rPr>
              <w:t>For</w:t>
            </w:r>
          </w:p>
        </w:tc>
      </w:tr>
      <w:tr>
        <w:tc>
          <w:tcPr>
            <w:tcW w:type="dxa" w:w="3744"/>
          </w:tcPr>
          <w:p>
            <w:r/>
            <w:r>
              <w:rPr>
                <w:b w:val="0"/>
                <w:sz w:val="20"/>
              </w:rPr>
              <w:t>Form 1 — Leadership Round Table</w:t>
            </w:r>
          </w:p>
        </w:tc>
        <w:tc>
          <w:tcPr>
            <w:tcW w:type="dxa" w:w="5616"/>
          </w:tcPr>
          <w:p>
            <w:r/>
            <w:r>
              <w:rPr>
                <w:b w:val="0"/>
                <w:sz w:val="20"/>
              </w:rPr>
              <w:t>Invited leadership participants</w:t>
            </w:r>
          </w:p>
        </w:tc>
      </w:tr>
      <w:tr>
        <w:tc>
          <w:tcPr>
            <w:tcW w:type="dxa" w:w="3744"/>
          </w:tcPr>
          <w:p>
            <w:r/>
            <w:r>
              <w:rPr>
                <w:b w:val="0"/>
                <w:sz w:val="20"/>
              </w:rPr>
              <w:t>Form 2 — CS Professional Connect</w:t>
            </w:r>
          </w:p>
        </w:tc>
        <w:tc>
          <w:tcPr>
            <w:tcW w:type="dxa" w:w="5616"/>
          </w:tcPr>
          <w:p>
            <w:r/>
            <w:r>
              <w:rPr>
                <w:b w:val="0"/>
                <w:sz w:val="20"/>
              </w:rPr>
              <w:t>Professionals · TPOs · Placement Coordinators · Academicians</w:t>
            </w:r>
          </w:p>
        </w:tc>
      </w:tr>
    </w:tbl>
    <w:p>
      <w:pPr>
        <w:spacing w:after="80"/>
      </w:pPr>
      <w:r>
        <w:rPr>
          <w:i/>
        </w:rPr>
        <w:t>Separate invitation designs and communication plans will be created for each audience.</w:t>
      </w:r>
    </w:p>
    <w:p>
      <w:pPr>
        <w:spacing w:before="200" w:after="60"/>
      </w:pPr>
      <w:r>
        <w:rPr>
          <w:b/>
          <w:color w:val="B0882C"/>
          <w:sz w:val="24"/>
        </w:rPr>
        <w:t>Live registration links</w:t>
      </w:r>
    </w:p>
    <w:p>
      <w:pPr>
        <w:spacing w:after="40"/>
      </w:pPr>
      <w:r>
        <w:rPr>
          <w:b/>
          <w:sz w:val="21"/>
        </w:rPr>
        <w:t xml:space="preserve">Form 1 · Leadership Round Table — </w:t>
      </w:r>
      <w:hyperlink r:id="rId9">
        <w:r>
          <w:rPr>
            <w:color w:val="0563C1"/>
            <w:u w:val="single"/>
            <w:sz w:val="20"/>
          </w:rPr>
          <w:t>https://docs.google.com/forms/d/e/1FAIpQLSexJ1lUZZT_RarcPOsKUfdkxXlZBlsh_V__29rsmI6FnUFO_A/viewform</w:t>
        </w:r>
      </w:hyperlink>
    </w:p>
    <w:p>
      <w:pPr>
        <w:spacing w:after="40"/>
      </w:pPr>
      <w:r>
        <w:rPr>
          <w:b/>
          <w:sz w:val="21"/>
        </w:rPr>
        <w:t xml:space="preserve">Form 2 · CS Professional Connect — </w:t>
      </w:r>
      <w:hyperlink r:id="rId10">
        <w:r>
          <w:rPr>
            <w:color w:val="0563C1"/>
            <w:u w:val="single"/>
            <w:sz w:val="20"/>
          </w:rPr>
          <w:t>https://docs.google.com/forms/d/e/1FAIpQLSd686aQcAj5rE7ZykW77mTAeotlMuyp3w0Cfn-kW6d8lr_yZw/viewform</w:t>
        </w:r>
      </w:hyperlink>
    </w:p>
    <w:p>
      <w:pPr>
        <w:pBdr>
          <w:bottom w:val="single" w:sz="6" w:space="4" w:color="B0882C"/>
        </w:pBdr>
        <w:spacing w:before="320" w:after="120"/>
      </w:pPr>
      <w:r>
        <w:rPr>
          <w:b/>
          <w:color w:val="151B2E"/>
          <w:sz w:val="30"/>
        </w:rPr>
        <w:t>10.  Event Operations</w:t>
      </w:r>
    </w:p>
    <w:p>
      <w:pPr>
        <w:spacing w:before="200" w:after="60"/>
      </w:pPr>
      <w:r>
        <w:rPr>
          <w:b/>
          <w:color w:val="B0882C"/>
          <w:sz w:val="24"/>
        </w:rPr>
        <w:t>Registration Desk</w:t>
      </w:r>
    </w:p>
    <w:p>
      <w:pPr>
        <w:pStyle w:val="ListBullet"/>
        <w:spacing w:after="40"/>
      </w:pPr>
      <w:r>
        <w:t>Check-in.</w:t>
      </w:r>
    </w:p>
    <w:p>
      <w:pPr>
        <w:pStyle w:val="ListBullet"/>
        <w:spacing w:after="40"/>
      </w:pPr>
      <w:r>
        <w:t>ID card distribution.</w:t>
      </w:r>
    </w:p>
    <w:p>
      <w:pPr>
        <w:pStyle w:val="ListBullet"/>
        <w:spacing w:after="40"/>
      </w:pPr>
      <w:r>
        <w:t>Event information support.</w:t>
      </w:r>
    </w:p>
    <w:p>
      <w:pPr>
        <w:spacing w:before="200" w:after="60"/>
      </w:pPr>
      <w:r>
        <w:rPr>
          <w:b/>
          <w:color w:val="B0882C"/>
          <w:sz w:val="24"/>
        </w:rPr>
        <w:t>IEEE Membership Desk</w:t>
      </w:r>
    </w:p>
    <w:p>
      <w:pPr>
        <w:pStyle w:val="ListBullet"/>
        <w:spacing w:after="40"/>
      </w:pPr>
      <w:r>
        <w:t>Membership information.</w:t>
      </w:r>
    </w:p>
    <w:p>
      <w:pPr>
        <w:pStyle w:val="ListBullet"/>
        <w:spacing w:after="40"/>
      </w:pPr>
      <w:r>
        <w:t>On-the-spot registration support.</w:t>
      </w:r>
    </w:p>
    <w:p>
      <w:pPr>
        <w:pStyle w:val="ListBullet"/>
        <w:spacing w:after="40"/>
      </w:pPr>
      <w:r>
        <w:t>IEEE benefits awareness.</w:t>
      </w:r>
    </w:p>
    <w:p>
      <w:pPr>
        <w:spacing w:before="200" w:after="60"/>
      </w:pPr>
      <w:r>
        <w:rPr>
          <w:b/>
          <w:color w:val="B0882C"/>
          <w:sz w:val="24"/>
        </w:rPr>
        <w:t>Membership Incentives</w:t>
      </w:r>
    </w:p>
    <w:p>
      <w:pPr>
        <w:pStyle w:val="ListBullet"/>
        <w:spacing w:after="40"/>
      </w:pPr>
      <w:r>
        <w:t>Selected early registrants may receive IEEE membership fee waivers.</w:t>
      </w:r>
    </w:p>
    <w:p>
      <w:pPr>
        <w:pStyle w:val="ListBullet"/>
        <w:spacing w:after="40"/>
      </w:pPr>
      <w:r>
        <w:t>Participants completing IEEE membership registration during the event will receive special IEEE goodies.</w:t>
      </w:r>
    </w:p>
    <w:p>
      <w:pPr>
        <w:pBdr>
          <w:bottom w:val="single" w:sz="6" w:space="4" w:color="B0882C"/>
        </w:pBdr>
        <w:spacing w:before="320" w:after="120"/>
      </w:pPr>
      <w:r>
        <w:rPr>
          <w:b/>
          <w:color w:val="151B2E"/>
          <w:sz w:val="30"/>
        </w:rPr>
        <w:t>11.  Identity Cards</w:t>
      </w:r>
    </w:p>
    <w:p>
      <w:pPr>
        <w:spacing w:after="80"/>
      </w:pPr>
      <w:r>
        <w:rPr>
          <w:i w:val="0"/>
        </w:rPr>
        <w:t>Separate colour-coded badges for each group:</w:t>
      </w:r>
    </w:p>
    <w:p>
      <w:pPr>
        <w:pStyle w:val="ListBullet"/>
        <w:spacing w:after="40"/>
      </w:pPr>
      <w:r>
        <w:t>Leaders</w:t>
      </w:r>
    </w:p>
    <w:p>
      <w:pPr>
        <w:pStyle w:val="ListBullet"/>
        <w:spacing w:after="40"/>
      </w:pPr>
      <w:r>
        <w:t>Professionals</w:t>
      </w:r>
    </w:p>
    <w:p>
      <w:pPr>
        <w:pStyle w:val="ListBullet"/>
        <w:spacing w:after="40"/>
      </w:pPr>
      <w:r>
        <w:t>IEEE ExCom</w:t>
      </w:r>
    </w:p>
    <w:p>
      <w:pPr>
        <w:pStyle w:val="ListBullet"/>
        <w:spacing w:after="40"/>
      </w:pPr>
      <w:r>
        <w:t>Volunteers</w:t>
      </w:r>
    </w:p>
    <w:p>
      <w:pPr>
        <w:pStyle w:val="ListBullet"/>
        <w:spacing w:after="40"/>
      </w:pPr>
      <w:r>
        <w:t>Organising Team</w:t>
      </w:r>
    </w:p>
    <w:p>
      <w:pPr>
        <w:pBdr>
          <w:bottom w:val="single" w:sz="6" w:space="4" w:color="B0882C"/>
        </w:pBdr>
        <w:spacing w:before="320" w:after="120"/>
      </w:pPr>
      <w:r>
        <w:rPr>
          <w:b/>
          <w:color w:val="151B2E"/>
          <w:sz w:val="30"/>
        </w:rPr>
        <w:t>12.  Security &amp; Logistics</w:t>
      </w:r>
    </w:p>
    <w:p>
      <w:pPr>
        <w:pStyle w:val="ListBullet"/>
        <w:spacing w:after="40"/>
      </w:pPr>
      <w:r>
        <w:t>Dedicated storage room for goodies.</w:t>
      </w:r>
    </w:p>
    <w:p>
      <w:pPr>
        <w:pStyle w:val="ListBullet"/>
        <w:spacing w:after="40"/>
      </w:pPr>
      <w:r>
        <w:t>Restricted access.</w:t>
      </w:r>
    </w:p>
    <w:p>
      <w:pPr>
        <w:pStyle w:val="ListBullet"/>
        <w:spacing w:after="40"/>
      </w:pPr>
      <w:r>
        <w:t>Trusted volunteer team.</w:t>
      </w:r>
    </w:p>
    <w:p>
      <w:pPr>
        <w:pStyle w:val="ListBullet"/>
        <w:spacing w:after="40"/>
      </w:pPr>
      <w:r>
        <w:t>Inventory tracking before and after distribution.</w:t>
      </w:r>
    </w:p>
    <w:p>
      <w:pPr>
        <w:pStyle w:val="ListBullet"/>
        <w:spacing w:after="40"/>
      </w:pPr>
      <w:r>
        <w:t>Goodie management and allocation records.</w:t>
      </w:r>
    </w:p>
    <w:p>
      <w:pPr>
        <w:pBdr>
          <w:bottom w:val="single" w:sz="6" w:space="4" w:color="B0882C"/>
        </w:pBdr>
        <w:spacing w:before="320" w:after="120"/>
      </w:pPr>
      <w:r>
        <w:rPr>
          <w:b/>
          <w:color w:val="151B2E"/>
          <w:sz w:val="30"/>
        </w:rPr>
        <w:t>13.  Website &amp; Invitation Experience</w:t>
      </w:r>
    </w:p>
    <w:p>
      <w:pPr>
        <w:spacing w:after="80"/>
      </w:pPr>
      <w:r>
        <w:rPr>
          <w:i w:val="0"/>
        </w:rPr>
        <w:t>The event website should reflect:</w:t>
      </w:r>
    </w:p>
    <w:p>
      <w:pPr>
        <w:pStyle w:val="ListBullet"/>
        <w:spacing w:after="40"/>
      </w:pPr>
      <w:r>
        <w:t>Premium leadership forum positioning.</w:t>
      </w:r>
    </w:p>
    <w:p>
      <w:pPr>
        <w:pStyle w:val="ListBullet"/>
        <w:spacing w:after="40"/>
      </w:pPr>
      <w:r>
        <w:t>Modern and elegant design.</w:t>
      </w:r>
    </w:p>
    <w:p>
      <w:pPr>
        <w:pStyle w:val="ListBullet"/>
        <w:spacing w:after="40"/>
      </w:pPr>
      <w:r>
        <w:t>Strong AI and industry focus.</w:t>
      </w:r>
    </w:p>
    <w:p>
      <w:pPr>
        <w:pStyle w:val="ListBullet"/>
        <w:spacing w:after="40"/>
      </w:pPr>
      <w:r>
        <w:t>Clear event flow.</w:t>
      </w:r>
    </w:p>
    <w:p>
      <w:pPr>
        <w:pStyle w:val="ListBullet"/>
        <w:spacing w:after="40"/>
      </w:pPr>
      <w:r>
        <w:t>Seamless registration experience.</w:t>
      </w:r>
    </w:p>
    <w:p>
      <w:pPr>
        <w:spacing w:before="200" w:after="60"/>
      </w:pPr>
      <w:r>
        <w:rPr>
          <w:b/>
          <w:color w:val="B0882C"/>
          <w:sz w:val="24"/>
        </w:rPr>
        <w:t>Leader Invitations</w:t>
      </w:r>
    </w:p>
    <w:p>
      <w:pPr>
        <w:pStyle w:val="ListBullet"/>
        <w:spacing w:after="40"/>
      </w:pPr>
      <w:r>
        <w:t>Premium and professional.</w:t>
      </w:r>
    </w:p>
    <w:p>
      <w:pPr>
        <w:pStyle w:val="ListBullet"/>
        <w:spacing w:after="40"/>
      </w:pPr>
      <w:r>
        <w:t>Exclusive positioning.</w:t>
      </w:r>
    </w:p>
    <w:p>
      <w:pPr>
        <w:pStyle w:val="ListBullet"/>
        <w:spacing w:after="40"/>
      </w:pPr>
      <w:r>
        <w:t>Visually distinct from professional invitations.</w:t>
      </w:r>
    </w:p>
    <w:p>
      <w:pPr>
        <w:spacing w:before="200" w:after="60"/>
      </w:pPr>
      <w:r>
        <w:rPr>
          <w:b/>
          <w:color w:val="B0882C"/>
          <w:sz w:val="24"/>
        </w:rPr>
        <w:t>Professional Invitations</w:t>
      </w:r>
    </w:p>
    <w:p>
      <w:pPr>
        <w:pStyle w:val="ListBullet"/>
        <w:spacing w:after="40"/>
      </w:pPr>
      <w:r>
        <w:t>Focused on networking opportunities.</w:t>
      </w:r>
    </w:p>
    <w:p>
      <w:pPr>
        <w:pStyle w:val="ListBullet"/>
        <w:spacing w:after="40"/>
      </w:pPr>
      <w:r>
        <w:t>Industry–academia collaboration.</w:t>
      </w:r>
    </w:p>
    <w:p>
      <w:pPr>
        <w:pStyle w:val="ListBullet"/>
        <w:spacing w:after="40"/>
      </w:pPr>
      <w:r>
        <w:t>IEEE engagement and community building.</w:t>
      </w:r>
    </w:p>
    <w:p>
      <w:pPr>
        <w:pBdr>
          <w:bottom w:val="single" w:sz="6" w:space="4" w:color="B0882C"/>
        </w:pBdr>
        <w:spacing w:before="320" w:after="120"/>
      </w:pPr>
      <w:r>
        <w:rPr>
          <w:b/>
          <w:color w:val="151B2E"/>
          <w:sz w:val="30"/>
        </w:rPr>
        <w:t>14.  Suggested Leaders</w:t>
      </w:r>
    </w:p>
    <w:p>
      <w:pPr>
        <w:spacing w:after="80"/>
      </w:pPr>
      <w:r>
        <w:rPr>
          <w:i/>
          <w:color w:val="555B66"/>
        </w:rPr>
        <w:t>Working list for the leadership invitations (to be finalised):</w:t>
      </w:r>
    </w:p>
    <w:tbl>
      <w:tblPr>
        <w:tblStyle w:val="TableGrid"/>
        <w:tblW w:type="auto" w:w="0"/>
        <w:tblLook w:firstColumn="1" w:firstRow="1" w:lastColumn="0" w:lastRow="0" w:noHBand="0" w:noVBand="1" w:val="04A0"/>
      </w:tblPr>
      <w:tblGrid>
        <w:gridCol w:w="4320"/>
        <w:gridCol w:w="4320"/>
      </w:tblGrid>
      <w:tr>
        <w:tc>
          <w:tcPr>
            <w:tcW w:type="dxa" w:w="4320"/>
            <w:shd w:val="clear" w:fill="151B2E"/>
          </w:tcPr>
          <w:p>
            <w:r/>
            <w:r>
              <w:rPr>
                <w:b/>
                <w:color w:val="FFFFFF"/>
                <w:sz w:val="21"/>
              </w:rPr>
              <w:t>Name</w:t>
            </w:r>
          </w:p>
        </w:tc>
        <w:tc>
          <w:tcPr>
            <w:tcW w:type="dxa" w:w="5040"/>
            <w:shd w:val="clear" w:fill="151B2E"/>
          </w:tcPr>
          <w:p>
            <w:r/>
            <w:r>
              <w:rPr>
                <w:b/>
                <w:color w:val="FFFFFF"/>
                <w:sz w:val="21"/>
              </w:rPr>
              <w:t>Affiliation / Note</w:t>
            </w:r>
          </w:p>
        </w:tc>
      </w:tr>
      <w:tr>
        <w:tc>
          <w:tcPr>
            <w:tcW w:type="dxa" w:w="4320"/>
          </w:tcPr>
          <w:p>
            <w:r/>
            <w:r>
              <w:rPr>
                <w:b w:val="0"/>
                <w:sz w:val="20"/>
              </w:rPr>
              <w:t>Jayshree</w:t>
            </w:r>
          </w:p>
        </w:tc>
        <w:tc>
          <w:tcPr>
            <w:tcW w:type="dxa" w:w="5040"/>
          </w:tcPr>
          <w:p>
            <w:r/>
            <w:r>
              <w:rPr>
                <w:b w:val="0"/>
                <w:sz w:val="20"/>
              </w:rPr>
              <w:t>—</w:t>
            </w:r>
          </w:p>
        </w:tc>
      </w:tr>
      <w:tr>
        <w:tc>
          <w:tcPr>
            <w:tcW w:type="dxa" w:w="4320"/>
          </w:tcPr>
          <w:p>
            <w:r/>
            <w:r>
              <w:rPr>
                <w:b w:val="0"/>
                <w:sz w:val="20"/>
              </w:rPr>
              <w:t>Jayanth</w:t>
            </w:r>
          </w:p>
        </w:tc>
        <w:tc>
          <w:tcPr>
            <w:tcW w:type="dxa" w:w="5040"/>
          </w:tcPr>
          <w:p>
            <w:r/>
            <w:r>
              <w:rPr>
                <w:b w:val="0"/>
                <w:sz w:val="20"/>
              </w:rPr>
              <w:t>—</w:t>
            </w:r>
          </w:p>
        </w:tc>
      </w:tr>
      <w:tr>
        <w:tc>
          <w:tcPr>
            <w:tcW w:type="dxa" w:w="4320"/>
          </w:tcPr>
          <w:p>
            <w:r/>
            <w:r>
              <w:rPr>
                <w:b w:val="0"/>
                <w:sz w:val="20"/>
              </w:rPr>
              <w:t>Nithin Mohan</w:t>
            </w:r>
          </w:p>
        </w:tc>
        <w:tc>
          <w:tcPr>
            <w:tcW w:type="dxa" w:w="5040"/>
          </w:tcPr>
          <w:p>
            <w:r/>
            <w:r>
              <w:rPr>
                <w:b w:val="0"/>
                <w:sz w:val="20"/>
              </w:rPr>
              <w:t>CEO, Cambridge Group</w:t>
            </w:r>
          </w:p>
        </w:tc>
      </w:tr>
      <w:tr>
        <w:tc>
          <w:tcPr>
            <w:tcW w:type="dxa" w:w="4320"/>
          </w:tcPr>
          <w:p>
            <w:r/>
            <w:r>
              <w:rPr>
                <w:b w:val="0"/>
                <w:sz w:val="20"/>
              </w:rPr>
              <w:t>Sabrina</w:t>
            </w:r>
          </w:p>
        </w:tc>
        <w:tc>
          <w:tcPr>
            <w:tcW w:type="dxa" w:w="5040"/>
          </w:tcPr>
          <w:p>
            <w:r/>
            <w:r>
              <w:rPr>
                <w:b w:val="0"/>
                <w:sz w:val="20"/>
              </w:rPr>
              <w:t>—</w:t>
            </w:r>
          </w:p>
        </w:tc>
      </w:tr>
      <w:tr>
        <w:tc>
          <w:tcPr>
            <w:tcW w:type="dxa" w:w="4320"/>
          </w:tcPr>
          <w:p>
            <w:r/>
            <w:r>
              <w:rPr>
                <w:b w:val="0"/>
                <w:sz w:val="20"/>
              </w:rPr>
              <w:t>Mohin</w:t>
            </w:r>
          </w:p>
        </w:tc>
        <w:tc>
          <w:tcPr>
            <w:tcW w:type="dxa" w:w="5040"/>
          </w:tcPr>
          <w:p>
            <w:r/>
            <w:r>
              <w:rPr>
                <w:b w:val="0"/>
                <w:sz w:val="20"/>
              </w:rPr>
              <w:t>—</w:t>
            </w:r>
          </w:p>
        </w:tc>
      </w:tr>
      <w:tr>
        <w:tc>
          <w:tcPr>
            <w:tcW w:type="dxa" w:w="4320"/>
          </w:tcPr>
          <w:p>
            <w:r/>
            <w:r>
              <w:rPr>
                <w:b w:val="0"/>
                <w:sz w:val="20"/>
              </w:rPr>
              <w:t>Abhishek</w:t>
            </w:r>
          </w:p>
        </w:tc>
        <w:tc>
          <w:tcPr>
            <w:tcW w:type="dxa" w:w="5040"/>
          </w:tcPr>
          <w:p>
            <w:r/>
            <w:r>
              <w:rPr>
                <w:b w:val="0"/>
                <w:sz w:val="20"/>
              </w:rPr>
              <w:t>—</w:t>
            </w:r>
          </w:p>
        </w:tc>
      </w:tr>
      <w:tr>
        <w:tc>
          <w:tcPr>
            <w:tcW w:type="dxa" w:w="4320"/>
          </w:tcPr>
          <w:p>
            <w:r/>
            <w:r>
              <w:rPr>
                <w:b w:val="0"/>
                <w:sz w:val="20"/>
              </w:rPr>
              <w:t>Jyothi</w:t>
            </w:r>
          </w:p>
        </w:tc>
        <w:tc>
          <w:tcPr>
            <w:tcW w:type="dxa" w:w="5040"/>
          </w:tcPr>
          <w:p>
            <w:r/>
            <w:r>
              <w:rPr>
                <w:b w:val="0"/>
                <w:sz w:val="20"/>
              </w:rPr>
              <w:t>—</w:t>
            </w:r>
          </w:p>
        </w:tc>
      </w:tr>
      <w:tr>
        <w:tc>
          <w:tcPr>
            <w:tcW w:type="dxa" w:w="4320"/>
          </w:tcPr>
          <w:p>
            <w:r/>
            <w:r>
              <w:rPr>
                <w:b w:val="0"/>
                <w:sz w:val="20"/>
              </w:rPr>
              <w:t>RV College Chairperson</w:t>
            </w:r>
          </w:p>
        </w:tc>
        <w:tc>
          <w:tcPr>
            <w:tcW w:type="dxa" w:w="5040"/>
          </w:tcPr>
          <w:p>
            <w:r/>
            <w:r>
              <w:rPr>
                <w:b w:val="0"/>
                <w:sz w:val="20"/>
              </w:rPr>
              <w:t>RV College</w:t>
            </w:r>
          </w:p>
        </w:tc>
      </w:tr>
      <w:tr>
        <w:tc>
          <w:tcPr>
            <w:tcW w:type="dxa" w:w="4320"/>
          </w:tcPr>
          <w:p>
            <w:r/>
            <w:r>
              <w:rPr>
                <w:b w:val="0"/>
                <w:sz w:val="20"/>
              </w:rPr>
              <w:t>Kishor</w:t>
            </w:r>
          </w:p>
        </w:tc>
        <w:tc>
          <w:tcPr>
            <w:tcW w:type="dxa" w:w="5040"/>
          </w:tcPr>
          <w:p>
            <w:r/>
            <w:r>
              <w:rPr>
                <w:b w:val="0"/>
                <w:sz w:val="20"/>
              </w:rPr>
              <w:t>TCIEM</w:t>
            </w:r>
          </w:p>
        </w:tc>
      </w:tr>
      <w:tr>
        <w:tc>
          <w:tcPr>
            <w:tcW w:type="dxa" w:w="4320"/>
          </w:tcPr>
          <w:p>
            <w:r/>
            <w:r>
              <w:rPr>
                <w:b w:val="0"/>
                <w:sz w:val="20"/>
              </w:rPr>
              <w:t>Changappa</w:t>
            </w:r>
          </w:p>
        </w:tc>
        <w:tc>
          <w:tcPr>
            <w:tcW w:type="dxa" w:w="5040"/>
          </w:tcPr>
          <w:p>
            <w:r/>
            <w:r>
              <w:rPr>
                <w:b w:val="0"/>
                <w:sz w:val="20"/>
              </w:rPr>
              <w:t>Bosch</w:t>
            </w:r>
          </w:p>
        </w:tc>
      </w:tr>
      <w:tr>
        <w:tc>
          <w:tcPr>
            <w:tcW w:type="dxa" w:w="4320"/>
          </w:tcPr>
          <w:p>
            <w:r/>
            <w:r>
              <w:rPr>
                <w:b w:val="0"/>
                <w:sz w:val="20"/>
              </w:rPr>
              <w:t>Veena Rao</w:t>
            </w:r>
          </w:p>
        </w:tc>
        <w:tc>
          <w:tcPr>
            <w:tcW w:type="dxa" w:w="5040"/>
          </w:tcPr>
          <w:p>
            <w:r/>
            <w:r>
              <w:rPr>
                <w:b w:val="0"/>
                <w:sz w:val="20"/>
              </w:rPr>
              <w:t>—</w:t>
            </w:r>
          </w:p>
        </w:tc>
      </w:tr>
      <w:tr>
        <w:tc>
          <w:tcPr>
            <w:tcW w:type="dxa" w:w="4320"/>
          </w:tcPr>
          <w:p>
            <w:r/>
            <w:r>
              <w:rPr>
                <w:b w:val="0"/>
                <w:sz w:val="20"/>
              </w:rPr>
              <w:t>Rajesh</w:t>
            </w:r>
          </w:p>
        </w:tc>
        <w:tc>
          <w:tcPr>
            <w:tcW w:type="dxa" w:w="5040"/>
          </w:tcPr>
          <w:p>
            <w:r/>
            <w:r>
              <w:rPr>
                <w:b w:val="0"/>
                <w:sz w:val="20"/>
              </w:rPr>
              <w:t>—</w:t>
            </w:r>
          </w:p>
        </w:tc>
      </w:tr>
      <w:tr>
        <w:tc>
          <w:tcPr>
            <w:tcW w:type="dxa" w:w="4320"/>
          </w:tcPr>
          <w:p>
            <w:r/>
            <w:r>
              <w:rPr>
                <w:b w:val="0"/>
                <w:sz w:val="20"/>
              </w:rPr>
              <w:t>Vineesh</w:t>
            </w:r>
          </w:p>
        </w:tc>
        <w:tc>
          <w:tcPr>
            <w:tcW w:type="dxa" w:w="5040"/>
          </w:tcPr>
          <w:p>
            <w:r/>
            <w:r>
              <w:rPr>
                <w:b w:val="0"/>
                <w:sz w:val="20"/>
              </w:rPr>
              <w:t>—</w:t>
            </w:r>
          </w:p>
        </w:tc>
      </w:tr>
      <w:tr>
        <w:tc>
          <w:tcPr>
            <w:tcW w:type="dxa" w:w="4320"/>
          </w:tcPr>
          <w:p>
            <w:r/>
            <w:r>
              <w:rPr>
                <w:b w:val="0"/>
                <w:sz w:val="20"/>
              </w:rPr>
              <w:t>Prashanth</w:t>
            </w:r>
          </w:p>
        </w:tc>
        <w:tc>
          <w:tcPr>
            <w:tcW w:type="dxa" w:w="5040"/>
          </w:tcPr>
          <w:p>
            <w:r/>
            <w:r>
              <w:rPr>
                <w:b w:val="0"/>
                <w:sz w:val="20"/>
              </w:rPr>
              <w:t>IEEE</w:t>
            </w:r>
          </w:p>
        </w:tc>
      </w:tr>
      <w:tr>
        <w:tc>
          <w:tcPr>
            <w:tcW w:type="dxa" w:w="4320"/>
          </w:tcPr>
          <w:p>
            <w:r/>
            <w:r>
              <w:rPr>
                <w:b w:val="0"/>
                <w:sz w:val="20"/>
              </w:rPr>
              <w:t>Deepa</w:t>
            </w:r>
          </w:p>
        </w:tc>
        <w:tc>
          <w:tcPr>
            <w:tcW w:type="dxa" w:w="5040"/>
          </w:tcPr>
          <w:p>
            <w:r/>
            <w:r>
              <w:rPr>
                <w:b w:val="0"/>
                <w:sz w:val="20"/>
              </w:rPr>
              <w:t>IEEE CS ExCom</w:t>
            </w:r>
          </w:p>
        </w:tc>
      </w:tr>
      <w:tr>
        <w:tc>
          <w:tcPr>
            <w:tcW w:type="dxa" w:w="4320"/>
          </w:tcPr>
          <w:p>
            <w:r/>
            <w:r>
              <w:rPr>
                <w:b w:val="0"/>
                <w:sz w:val="20"/>
              </w:rPr>
              <w:t>Ashwini</w:t>
            </w:r>
          </w:p>
        </w:tc>
        <w:tc>
          <w:tcPr>
            <w:tcW w:type="dxa" w:w="5040"/>
          </w:tcPr>
          <w:p>
            <w:r/>
            <w:r>
              <w:rPr>
                <w:b w:val="0"/>
                <w:sz w:val="20"/>
              </w:rPr>
              <w:t>—</w:t>
            </w:r>
          </w:p>
        </w:tc>
      </w:tr>
      <w:tr>
        <w:tc>
          <w:tcPr>
            <w:tcW w:type="dxa" w:w="4320"/>
          </w:tcPr>
          <w:p>
            <w:r/>
            <w:r>
              <w:rPr>
                <w:b w:val="0"/>
                <w:sz w:val="20"/>
              </w:rPr>
              <w:t>Sujata</w:t>
            </w:r>
          </w:p>
        </w:tc>
        <w:tc>
          <w:tcPr>
            <w:tcW w:type="dxa" w:w="5040"/>
          </w:tcPr>
          <w:p>
            <w:r/>
            <w:r>
              <w:rPr>
                <w:b w:val="0"/>
                <w:sz w:val="20"/>
              </w:rPr>
              <w:t>—</w:t>
            </w:r>
          </w:p>
        </w:tc>
      </w:tr>
      <w:tr>
        <w:tc>
          <w:tcPr>
            <w:tcW w:type="dxa" w:w="4320"/>
          </w:tcPr>
          <w:p>
            <w:r/>
            <w:r>
              <w:rPr>
                <w:b w:val="0"/>
                <w:sz w:val="20"/>
              </w:rPr>
              <w:t>Sanil</w:t>
            </w:r>
          </w:p>
        </w:tc>
        <w:tc>
          <w:tcPr>
            <w:tcW w:type="dxa" w:w="5040"/>
          </w:tcPr>
          <w:p>
            <w:r/>
            <w:r>
              <w:rPr>
                <w:b w:val="0"/>
                <w:sz w:val="20"/>
              </w:rPr>
              <w:t>BMSIT</w:t>
            </w:r>
          </w:p>
        </w:tc>
      </w:tr>
      <w:tr>
        <w:tc>
          <w:tcPr>
            <w:tcW w:type="dxa" w:w="4320"/>
          </w:tcPr>
          <w:p>
            <w:r/>
            <w:r>
              <w:rPr>
                <w:b w:val="0"/>
                <w:sz w:val="20"/>
              </w:rPr>
              <w:t>Yashwanth</w:t>
            </w:r>
          </w:p>
        </w:tc>
        <w:tc>
          <w:tcPr>
            <w:tcW w:type="dxa" w:w="5040"/>
          </w:tcPr>
          <w:p>
            <w:r/>
            <w:r>
              <w:rPr>
                <w:b w:val="0"/>
                <w:sz w:val="20"/>
              </w:rPr>
              <w:t>—</w:t>
            </w:r>
          </w:p>
        </w:tc>
      </w:tr>
      <w:tr>
        <w:tc>
          <w:tcPr>
            <w:tcW w:type="dxa" w:w="4320"/>
          </w:tcPr>
          <w:p>
            <w:r/>
            <w:r>
              <w:rPr>
                <w:b w:val="0"/>
                <w:sz w:val="20"/>
              </w:rPr>
              <w:t>Shobha Ma'am</w:t>
            </w:r>
          </w:p>
        </w:tc>
        <w:tc>
          <w:tcPr>
            <w:tcW w:type="dxa" w:w="5040"/>
          </w:tcPr>
          <w:p>
            <w:r/>
            <w:r>
              <w:rPr>
                <w:b w:val="0"/>
                <w:sz w:val="20"/>
              </w:rPr>
              <w:t>—</w:t>
            </w:r>
          </w:p>
        </w:tc>
      </w:tr>
      <w:tr>
        <w:tc>
          <w:tcPr>
            <w:tcW w:type="dxa" w:w="4320"/>
          </w:tcPr>
          <w:p>
            <w:r/>
            <w:r>
              <w:rPr>
                <w:b w:val="0"/>
                <w:sz w:val="20"/>
              </w:rPr>
              <w:t>Vidya Kabra</w:t>
            </w:r>
          </w:p>
        </w:tc>
        <w:tc>
          <w:tcPr>
            <w:tcW w:type="dxa" w:w="5040"/>
          </w:tcPr>
          <w:p>
            <w:r/>
            <w:r>
              <w:rPr>
                <w:b w:val="0"/>
                <w:sz w:val="20"/>
              </w:rPr>
              <w:t>—</w:t>
            </w:r>
          </w:p>
        </w:tc>
      </w:tr>
      <w:tr>
        <w:tc>
          <w:tcPr>
            <w:tcW w:type="dxa" w:w="4320"/>
          </w:tcPr>
          <w:p>
            <w:r/>
            <w:r>
              <w:rPr>
                <w:b w:val="0"/>
                <w:sz w:val="20"/>
              </w:rPr>
              <w:t>Himanshu</w:t>
            </w:r>
          </w:p>
        </w:tc>
        <w:tc>
          <w:tcPr>
            <w:tcW w:type="dxa" w:w="5040"/>
          </w:tcPr>
          <w:p>
            <w:r/>
            <w:r>
              <w:rPr>
                <w:b w:val="0"/>
                <w:sz w:val="20"/>
              </w:rPr>
              <w:t>—</w:t>
            </w:r>
          </w:p>
        </w:tc>
      </w:tr>
    </w:tbl>
    <w:p/>
    <w:p>
      <w:pPr>
        <w:jc w:val="center"/>
      </w:pPr>
      <w:r>
        <w:rPr>
          <w:i/>
          <w:color w:val="555B66"/>
          <w:sz w:val="18"/>
        </w:rPr>
        <w:t>IEEE CS Pro 2026  ·  IEEE Computer Society – Bangalore Chapter  ·  ieeecsbangalore.org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forms/d/e/1FAIpQLSexJ1lUZZT_RarcPOsKUfdkxXlZBlsh_V__29rsmI6FnUFO_A/viewform" TargetMode="External"/><Relationship Id="rId10" Type="http://schemas.openxmlformats.org/officeDocument/2006/relationships/hyperlink" Target="https://docs.google.com/forms/d/e/1FAIpQLSd686aQcAj5rE7ZykW77mTAeotlMuyp3w0Cfn-kW6d8lr_yZw/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