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PD-1 :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would perform differently if body mass index categorization was incorporated and that the </w:t>
      </w:r>
      <w:r w:rsidR="002616BA" w:rsidRPr="008E37BC">
        <w:rPr>
          <w:rFonts w:cs="Times New Roman"/>
          <w:color w:val="000000"/>
          <w:szCs w:val="24"/>
          <w:shd w:val="clear" w:color="auto" w:fill="FFFFFF"/>
        </w:rPr>
        <w:lastRenderedPageBreak/>
        <w:t>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deviations in WBC, creatinine, and blood urea nitrogen from baseline in obese compared </w:t>
      </w:r>
      <w:r w:rsidR="00875A7C" w:rsidRPr="00875A7C">
        <w:rPr>
          <w:rFonts w:cs="Times New Roman"/>
          <w:color w:val="000000"/>
          <w:szCs w:val="24"/>
          <w:shd w:val="clear" w:color="auto" w:fill="FFFFFF"/>
        </w:rPr>
        <w:lastRenderedPageBreak/>
        <w:t>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1"/>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r>
        <w:rPr>
          <w:rFonts w:cs="Times New Roman"/>
          <w:sz w:val="24"/>
          <w:szCs w:val="24"/>
          <w:shd w:val="clear" w:color="auto" w:fill="FFFFFF"/>
        </w:rPr>
        <w:t>Objective</w:t>
      </w:r>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bookmarkStart w:id="2" w:name="_GoBack"/>
      <w:bookmarkEnd w:id="2"/>
    </w:p>
    <w:p w:rsidR="008166C3" w:rsidRPr="008E37BC" w:rsidRDefault="008166C3"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t xml:space="preserve"> </w:t>
      </w:r>
      <w:bookmarkStart w:id="3" w:name="_Toc28254345"/>
      <w:r w:rsidRPr="008E37BC">
        <w:rPr>
          <w:rFonts w:cs="Times New Roman"/>
          <w:sz w:val="24"/>
          <w:szCs w:val="24"/>
          <w:shd w:val="clear" w:color="auto" w:fill="FFFFFF"/>
        </w:rPr>
        <w:t>APPROACH Followed</w:t>
      </w:r>
      <w:bookmarkEnd w:id="3"/>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lastRenderedPageBreak/>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729615</wp:posOffset>
            </wp:positionH>
            <wp:positionV relativeFrom="paragraph">
              <wp:posOffset>331470</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r w:rsidR="00460DDC"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E378E8" w:rsidRDefault="00E378E8" w:rsidP="00460DDC">
                            <w:pPr>
                              <w:pStyle w:val="Caption"/>
                              <w:jc w:val="center"/>
                              <w:rPr>
                                <w:sz w:val="24"/>
                                <w:szCs w:val="24"/>
                              </w:rPr>
                            </w:pPr>
                            <w:bookmarkStart w:id="4" w:name="_Toc26758059"/>
                            <w:bookmarkStart w:id="5" w:name="_Toc26758271"/>
                            <w:bookmarkStart w:id="6" w:name="_Toc26758349"/>
                            <w:bookmarkStart w:id="7" w:name="_Toc26919520"/>
                            <w:bookmarkStart w:id="8" w:name="_Toc28181634"/>
                            <w:bookmarkStart w:id="9" w:name="_Toc28221940"/>
                            <w:bookmarkStart w:id="10" w:name="_Toc28263617"/>
                          </w:p>
                          <w:p w:rsidR="00E378E8" w:rsidRPr="00460DDC" w:rsidRDefault="00E378E8"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4"/>
                            <w:bookmarkEnd w:id="5"/>
                            <w:bookmarkEnd w:id="6"/>
                            <w:bookmarkEnd w:id="7"/>
                            <w:bookmarkEnd w:id="8"/>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E378E8" w:rsidRDefault="00E378E8" w:rsidP="00460DDC">
                      <w:pPr>
                        <w:pStyle w:val="Caption"/>
                        <w:jc w:val="center"/>
                        <w:rPr>
                          <w:sz w:val="24"/>
                          <w:szCs w:val="24"/>
                        </w:rPr>
                      </w:pPr>
                      <w:bookmarkStart w:id="11" w:name="_Toc26758059"/>
                      <w:bookmarkStart w:id="12" w:name="_Toc26758271"/>
                      <w:bookmarkStart w:id="13" w:name="_Toc26758349"/>
                      <w:bookmarkStart w:id="14" w:name="_Toc26919520"/>
                      <w:bookmarkStart w:id="15" w:name="_Toc28181634"/>
                      <w:bookmarkStart w:id="16" w:name="_Toc28221940"/>
                      <w:bookmarkStart w:id="17" w:name="_Toc28263617"/>
                    </w:p>
                    <w:p w:rsidR="00E378E8" w:rsidRPr="00460DDC" w:rsidRDefault="00E378E8" w:rsidP="00460DDC">
                      <w:pPr>
                        <w:pStyle w:val="Caption"/>
                        <w:jc w:val="center"/>
                        <w:rPr>
                          <w:noProof/>
                          <w:color w:val="000000"/>
                          <w:sz w:val="24"/>
                          <w:szCs w:val="24"/>
                          <w:shd w:val="clear" w:color="auto" w:fill="FFFFFF"/>
                        </w:rPr>
                      </w:pPr>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1"/>
                      <w:bookmarkEnd w:id="12"/>
                      <w:bookmarkEnd w:id="13"/>
                      <w:bookmarkEnd w:id="14"/>
                      <w:bookmarkEnd w:id="15"/>
                      <w:bookmarkEnd w:id="16"/>
                      <w:bookmarkEnd w:id="17"/>
                    </w:p>
                  </w:txbxContent>
                </v:textbox>
                <w10:wrap type="topAndBottom"/>
              </v:shape>
            </w:pict>
          </mc:Fallback>
        </mc:AlternateContent>
      </w:r>
    </w:p>
    <w:p w:rsidR="007340A8" w:rsidRDefault="007340A8" w:rsidP="00D527CA">
      <w:pPr>
        <w:spacing w:line="360" w:lineRule="auto"/>
        <w:rPr>
          <w:rFonts w:cs="Times New Roman"/>
          <w:szCs w:val="24"/>
        </w:rPr>
      </w:pP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Pr="008E37BC">
        <w:rPr>
          <w:rFonts w:cs="Times New Roman"/>
          <w:b/>
          <w:szCs w:val="24"/>
        </w:rPr>
        <w:t>Figure 1.1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8" w:name="_Toc28254346"/>
      <w:r w:rsidR="00DD7BEA" w:rsidRPr="008E37BC">
        <w:rPr>
          <w:rFonts w:cs="Times New Roman"/>
          <w:sz w:val="24"/>
          <w:szCs w:val="24"/>
        </w:rPr>
        <w:t>Description of the Content</w:t>
      </w:r>
      <w:bookmarkEnd w:id="18"/>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19" w:name="_Toc28254347"/>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 research and scientific areas.</w:t>
      </w:r>
    </w:p>
    <w:p w:rsidR="00A5019A" w:rsidRPr="008E37BC"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D80A4D" w:rsidRPr="008E37BC" w:rsidRDefault="00D80A4D" w:rsidP="00A5019A">
      <w:pPr>
        <w:spacing w:line="360" w:lineRule="auto"/>
        <w:rPr>
          <w:rFonts w:cs="Times New Roman"/>
          <w:szCs w:val="24"/>
        </w:rPr>
      </w:pPr>
    </w:p>
    <w:p w:rsidR="00A5019A" w:rsidRPr="008F6606" w:rsidRDefault="007C26AB" w:rsidP="00A5019A">
      <w:pPr>
        <w:spacing w:line="360" w:lineRule="auto"/>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7C26AB" w:rsidRPr="008E37BC" w:rsidRDefault="00C02545" w:rsidP="00A5019A">
      <w:pPr>
        <w:spacing w:line="360" w:lineRule="auto"/>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[27, 28, 29, 30, 31, 32, 33, 34,</w:t>
        </w:r>
        <w:r w:rsidR="00FE6497" w:rsidRPr="00BA4E92">
          <w:rPr>
            <w:rStyle w:val="Hyperlink"/>
            <w:rFonts w:cs="Times New Roman"/>
            <w:b/>
            <w:color w:val="000000" w:themeColor="text1"/>
            <w:szCs w:val="24"/>
            <w:u w:val="none"/>
          </w:rPr>
          <w:t xml:space="preserve"> 35</w:t>
        </w:r>
        <w:r w:rsidRPr="00BA4E92">
          <w:rPr>
            <w:rStyle w:val="Hyperlink"/>
            <w:rFonts w:cs="Times New Roman"/>
            <w:b/>
            <w:color w:val="000000" w:themeColor="text1"/>
            <w:szCs w:val="24"/>
            <w:u w:val="none"/>
          </w:rPr>
          <w:t>]</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 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p>
    <w:p w:rsidR="00A5019A" w:rsidRDefault="00A5019A" w:rsidP="00A5019A">
      <w:pPr>
        <w:spacing w:line="360" w:lineRule="auto"/>
        <w:rPr>
          <w:rFonts w:cs="Times New Roman"/>
          <w:szCs w:val="24"/>
        </w:rPr>
      </w:pPr>
      <w:r w:rsidRPr="008E37BC">
        <w:rPr>
          <w:rFonts w:cs="Times New Roman"/>
          <w:szCs w:val="24"/>
        </w:rPr>
        <w:t xml:space="preserve">As predicting the length of stay for the patient can provide valuable information to the management of the hospital but also for patient’s health. </w:t>
      </w:r>
      <w:hyperlink w:anchor="_References" w:history="1">
        <w:r w:rsidRPr="00DD1D63">
          <w:rPr>
            <w:rStyle w:val="Hyperlink"/>
            <w:rFonts w:cs="Times New Roman"/>
            <w:b/>
            <w:color w:val="000000" w:themeColor="text1"/>
            <w:szCs w:val="24"/>
            <w:u w:val="none"/>
          </w:rPr>
          <w:t>[2]</w:t>
        </w:r>
      </w:hyperlink>
      <w:r w:rsidRPr="008E37BC">
        <w:rPr>
          <w:rFonts w:cs="Times New Roman"/>
          <w:szCs w:val="24"/>
        </w:rPr>
        <w:t xml:space="preserve"> Explored the use of neural networks for predicting the length of stay of patient within a time range of </w:t>
      </w:r>
      <w:r w:rsidRPr="008E37BC">
        <w:rPr>
          <w:rFonts w:cs="Times New Roman"/>
          <w:b/>
          <w:szCs w:val="24"/>
        </w:rPr>
        <w:t xml:space="preserve">(&lt;5) </w:t>
      </w:r>
      <w:r w:rsidRPr="008E37BC">
        <w:rPr>
          <w:rFonts w:cs="Times New Roman"/>
          <w:szCs w:val="24"/>
        </w:rPr>
        <w:t xml:space="preserve">days or </w:t>
      </w:r>
      <w:r w:rsidRPr="008E37BC">
        <w:rPr>
          <w:rFonts w:cs="Times New Roman"/>
          <w:b/>
          <w:szCs w:val="24"/>
        </w:rPr>
        <w:t xml:space="preserve">(&gt;5) </w:t>
      </w:r>
      <w:r w:rsidRPr="008E37BC">
        <w:rPr>
          <w:rFonts w:cs="Times New Roman"/>
          <w:szCs w:val="24"/>
        </w:rPr>
        <w:t xml:space="preserve">days after the patient left the Intensive care unit. They used a subset of </w:t>
      </w:r>
      <w:r w:rsidRPr="008E37BC">
        <w:rPr>
          <w:rFonts w:cs="Times New Roman"/>
          <w:b/>
          <w:szCs w:val="24"/>
        </w:rPr>
        <w:t xml:space="preserve">MIMIC-III </w:t>
      </w:r>
      <w:r w:rsidRPr="008E37BC">
        <w:rPr>
          <w:rFonts w:cs="Times New Roman"/>
          <w:szCs w:val="24"/>
        </w:rPr>
        <w:t xml:space="preserve">and written all their models in </w:t>
      </w:r>
      <w:r w:rsidRPr="008E37BC">
        <w:rPr>
          <w:rFonts w:cs="Times New Roman"/>
          <w:b/>
          <w:szCs w:val="24"/>
        </w:rPr>
        <w:t>R</w:t>
      </w:r>
      <w:r w:rsidRPr="008E37BC">
        <w:rPr>
          <w:rFonts w:cs="Times New Roman"/>
          <w:szCs w:val="24"/>
        </w:rPr>
        <w:t xml:space="preserve"> and </w:t>
      </w:r>
      <w:r w:rsidRPr="008E37BC">
        <w:rPr>
          <w:rFonts w:cs="Times New Roman"/>
          <w:b/>
          <w:szCs w:val="24"/>
        </w:rPr>
        <w:t>PostgreSQL</w:t>
      </w:r>
      <w:r w:rsidRPr="008E37BC">
        <w:rPr>
          <w:rFonts w:cs="Times New Roman"/>
          <w:szCs w:val="24"/>
        </w:rPr>
        <w:t xml:space="preserve"> using a supercomputer provided by the Florida Polytechnic University. Their model predictions achieved </w:t>
      </w:r>
      <w:r w:rsidRPr="008E37BC">
        <w:rPr>
          <w:rFonts w:cs="Times New Roman"/>
          <w:b/>
          <w:szCs w:val="24"/>
        </w:rPr>
        <w:t xml:space="preserve">80% </w:t>
      </w:r>
      <w:r w:rsidRPr="008E37BC">
        <w:rPr>
          <w:rFonts w:cs="Times New Roman"/>
          <w:szCs w:val="24"/>
        </w:rPr>
        <w:t xml:space="preserve">accuracy and outperformed any other linear models previously used of predicting the length of stay. </w:t>
      </w:r>
    </w:p>
    <w:p w:rsidR="00A5019A"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Pr>
          <w:rFonts w:cs="Times New Roman"/>
          <w:szCs w:val="24"/>
        </w:rPr>
        <w:lastRenderedPageBreak/>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Pr>
          <w:rFonts w:cs="Times New Roman"/>
          <w:szCs w:val="24"/>
        </w:rPr>
        <w:t xml:space="preserve">Research published in </w:t>
      </w:r>
      <w:hyperlink r:id="rId15"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 Another mortality prediction case study published in 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p>
    <w:p w:rsidR="00A5019A" w:rsidRDefault="00A5019A" w:rsidP="00A5019A">
      <w:pPr>
        <w:spacing w:line="360" w:lineRule="auto"/>
        <w:rPr>
          <w:rFonts w:cs="Times New Roman"/>
          <w:szCs w:val="24"/>
        </w:rPr>
      </w:pPr>
    </w:p>
    <w:p w:rsidR="00A5019A" w:rsidRPr="000D061D" w:rsidRDefault="00A5019A" w:rsidP="00A5019A">
      <w:pPr>
        <w:spacing w:line="360" w:lineRule="auto"/>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Workload Index for Transfer score (area under the receiver operating curve, 0.65.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to predict complications of mortality, renal failure, and 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lastRenderedPageBreak/>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19"/>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0" w:name="_Toc2825434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0"/>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w:t>
      </w:r>
      <w:r w:rsidR="009F607C" w:rsidRPr="008E37BC">
        <w:rPr>
          <w:rFonts w:cs="Times New Roman"/>
          <w:szCs w:val="24"/>
        </w:rPr>
        <w:lastRenderedPageBreak/>
        <w:t xml:space="preserve">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1" w:name="_Toc26919824"/>
      <w:bookmarkStart w:id="22"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1"/>
      <w:bookmarkEnd w:id="22"/>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lastRenderedPageBreak/>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3" w:name="_Toc2825434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3"/>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4" w:name="_Toc26919825"/>
      <w:bookmarkStart w:id="25"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4"/>
      <w:bookmarkEnd w:id="25"/>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 xml:space="preserve">This table provides information regarding care givers. For example, it would deﬁne if a caregiver is a research nurse (RN), medical </w:t>
            </w:r>
            <w:r w:rsidRPr="008E37BC">
              <w:rPr>
                <w:rFonts w:cs="Times New Roman"/>
                <w:szCs w:val="24"/>
              </w:rPr>
              <w:lastRenderedPageBreak/>
              <w:t>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lastRenderedPageBreak/>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This table deﬁnes ICD-9 codes for diagnoses. The ICD codes are generated for billing purposes at the end of the hospital </w:t>
            </w:r>
            <w:r w:rsidRPr="008E37BC">
              <w:rPr>
                <w:rFonts w:cs="Times New Roman"/>
                <w:szCs w:val="24"/>
              </w:rPr>
              <w:lastRenderedPageBreak/>
              <w:t>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lastRenderedPageBreak/>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 xml:space="preserve">patient was admitted under. This </w:t>
            </w:r>
            <w:r w:rsidRPr="008E37BC">
              <w:rPr>
                <w:rFonts w:cs="Times New Roman"/>
                <w:szCs w:val="24"/>
              </w:rPr>
              <w:lastRenderedPageBreak/>
              <w:t>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lastRenderedPageBreak/>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263144" w:rsidP="00D527CA">
      <w:pPr>
        <w:pStyle w:val="Heading1"/>
        <w:spacing w:line="360" w:lineRule="auto"/>
        <w:jc w:val="both"/>
        <w:rPr>
          <w:rFonts w:cs="Times New Roman"/>
          <w:sz w:val="24"/>
          <w:szCs w:val="24"/>
          <w:shd w:val="clear" w:color="auto" w:fill="FFFFFF"/>
        </w:rPr>
      </w:pPr>
      <w:bookmarkStart w:id="26" w:name="_Toc28254350"/>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6"/>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E378E8" w:rsidRPr="003F18BA" w:rsidRDefault="00E378E8"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bookmarkStart w:id="32" w:name="_Toc28221941"/>
                            <w:bookmarkStart w:id="33"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E378E8" w:rsidRPr="003F18BA" w:rsidRDefault="00E378E8" w:rsidP="003F18BA">
                      <w:pPr>
                        <w:pStyle w:val="Caption"/>
                        <w:jc w:val="center"/>
                        <w:rPr>
                          <w:noProof/>
                          <w:sz w:val="24"/>
                          <w:szCs w:val="24"/>
                        </w:rPr>
                      </w:pPr>
                      <w:bookmarkStart w:id="34" w:name="_Toc26758060"/>
                      <w:bookmarkStart w:id="35" w:name="_Toc26758272"/>
                      <w:bookmarkStart w:id="36" w:name="_Toc26758350"/>
                      <w:bookmarkStart w:id="37" w:name="_Toc26919521"/>
                      <w:bookmarkStart w:id="38" w:name="_Toc28181635"/>
                      <w:bookmarkStart w:id="39" w:name="_Toc28221941"/>
                      <w:bookmarkStart w:id="40"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4"/>
                      <w:bookmarkEnd w:id="35"/>
                      <w:bookmarkEnd w:id="36"/>
                      <w:bookmarkEnd w:id="37"/>
                      <w:bookmarkEnd w:id="38"/>
                      <w:bookmarkEnd w:id="39"/>
                      <w:bookmarkEnd w:id="40"/>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1" w:name="_Toc2825435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1"/>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 xml:space="preserve">which includes views and </w:t>
      </w:r>
      <w:r w:rsidR="006A1CFB" w:rsidRPr="008E37BC">
        <w:rPr>
          <w:rFonts w:cs="Times New Roman"/>
          <w:color w:val="000000"/>
          <w:szCs w:val="24"/>
          <w:shd w:val="clear" w:color="auto" w:fill="FFFFFF"/>
        </w:rPr>
        <w:lastRenderedPageBreak/>
        <w:t>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2" w:name="_Toc26919826"/>
      <w:bookmarkStart w:id="43"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2"/>
      <w:bookmarkEnd w:id="43"/>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Start and stop times for administration of various treatments or durations of various phenomena, including: medical agents which have a vasoactive effect on a 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4" w:name="_Toc2825435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4"/>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5" w:name="_Toc28254353"/>
      <w:r>
        <w:rPr>
          <w:rFonts w:cs="Times New Roman"/>
          <w:sz w:val="24"/>
          <w:szCs w:val="24"/>
        </w:rPr>
        <w:t>4</w:t>
      </w:r>
      <w:r w:rsidR="004F567B" w:rsidRPr="008E37BC">
        <w:rPr>
          <w:rFonts w:cs="Times New Roman"/>
          <w:sz w:val="24"/>
          <w:szCs w:val="24"/>
        </w:rPr>
        <w:t>.1 Technical Process</w:t>
      </w:r>
      <w:bookmarkEnd w:id="45"/>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378E8" w:rsidRPr="00BD1017" w:rsidRDefault="00E378E8" w:rsidP="00D631DC">
                            <w:pPr>
                              <w:pStyle w:val="Caption"/>
                              <w:rPr>
                                <w:noProof/>
                                <w:sz w:val="24"/>
                                <w:szCs w:val="28"/>
                              </w:rPr>
                            </w:pPr>
                            <w:bookmarkStart w:id="46" w:name="_Toc28181636"/>
                            <w:bookmarkStart w:id="47" w:name="_Toc28221942"/>
                            <w:bookmarkStart w:id="48" w:name="_Toc28263619"/>
                            <w:r>
                              <w:t xml:space="preserve">Figure </w:t>
                            </w:r>
                            <w:fldSimple w:instr=" SEQ Figure \* ARABIC ">
                              <w:r>
                                <w:rPr>
                                  <w:noProof/>
                                </w:rPr>
                                <w:t>3</w:t>
                              </w:r>
                            </w:fldSimple>
                            <w:r>
                              <w:t>: Technical Chain of Steps</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E378E8" w:rsidRPr="00BD1017" w:rsidRDefault="00E378E8" w:rsidP="00D631DC">
                      <w:pPr>
                        <w:pStyle w:val="Caption"/>
                        <w:rPr>
                          <w:noProof/>
                          <w:sz w:val="24"/>
                          <w:szCs w:val="28"/>
                        </w:rPr>
                      </w:pPr>
                      <w:bookmarkStart w:id="49" w:name="_Toc28181636"/>
                      <w:bookmarkStart w:id="50" w:name="_Toc28221942"/>
                      <w:bookmarkStart w:id="51" w:name="_Toc28263619"/>
                      <w:r>
                        <w:t xml:space="preserve">Figure </w:t>
                      </w:r>
                      <w:fldSimple w:instr=" SEQ Figure \* ARABIC ">
                        <w:r>
                          <w:rPr>
                            <w:noProof/>
                          </w:rPr>
                          <w:t>3</w:t>
                        </w:r>
                      </w:fldSimple>
                      <w:r>
                        <w:t>: Technical Chain of Steps</w:t>
                      </w:r>
                      <w:bookmarkEnd w:id="49"/>
                      <w:bookmarkEnd w:id="50"/>
                      <w:bookmarkEnd w:id="51"/>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2" w:name="_Toc2825435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2"/>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w:t>
      </w:r>
      <w:r w:rsidR="000211DB" w:rsidRPr="008E37BC">
        <w:rPr>
          <w:rFonts w:cs="Times New Roman"/>
          <w:color w:val="000000"/>
          <w:szCs w:val="24"/>
          <w:shd w:val="clear" w:color="auto" w:fill="FFFFFF"/>
        </w:rPr>
        <w:lastRenderedPageBreak/>
        <w:t xml:space="preserve">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3" w:name="_Toc26919523"/>
      <w:bookmarkStart w:id="54"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5" w:name="_Toc28221943"/>
      <w:bookmarkStart w:id="56"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3"/>
      <w:bookmarkEnd w:id="54"/>
      <w:bookmarkEnd w:id="55"/>
      <w:bookmarkEnd w:id="56"/>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E378E8"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7" w:name="_Toc28254355"/>
      <w:r>
        <w:rPr>
          <w:shd w:val="clear" w:color="auto" w:fill="FFFFFF"/>
        </w:rPr>
        <w:t>4</w:t>
      </w:r>
      <w:r w:rsidR="007D2524">
        <w:rPr>
          <w:shd w:val="clear" w:color="auto" w:fill="FFFFFF"/>
        </w:rPr>
        <w:t xml:space="preserve">.3 </w:t>
      </w:r>
      <w:r w:rsidR="000819B6">
        <w:rPr>
          <w:shd w:val="clear" w:color="auto" w:fill="FFFFFF"/>
        </w:rPr>
        <w:t>Diagnoses</w:t>
      </w:r>
      <w:bookmarkEnd w:id="57"/>
    </w:p>
    <w:p w:rsidR="007D2524" w:rsidRDefault="007D2524" w:rsidP="00D527CA">
      <w:pPr>
        <w:spacing w:line="360" w:lineRule="auto"/>
      </w:pPr>
    </w:p>
    <w:p w:rsidR="007D2524" w:rsidRDefault="00646C2C" w:rsidP="00D527CA">
      <w:pPr>
        <w:spacing w:line="360" w:lineRule="auto"/>
      </w:pPr>
      <w:r>
        <w:lastRenderedPageBreak/>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58" w:name="_Toc28254356"/>
      <w:r>
        <w:t>4</w:t>
      </w:r>
      <w:r w:rsidR="00BF4182">
        <w:t>.4 Procedures</w:t>
      </w:r>
      <w:bookmarkEnd w:id="58"/>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59" w:name="_Toc28228812"/>
      <w:r>
        <w:t xml:space="preserve">Table </w:t>
      </w:r>
      <w:fldSimple w:instr=" SEQ Table \* ARABIC ">
        <w:r w:rsidR="00513845">
          <w:rPr>
            <w:noProof/>
          </w:rPr>
          <w:t>4</w:t>
        </w:r>
      </w:fldSimple>
      <w:r>
        <w:t>: Diagnoses and Procedures Count</w:t>
      </w:r>
      <w:bookmarkEnd w:id="59"/>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0" w:name="_Toc28254357"/>
      <w:r>
        <w:rPr>
          <w:shd w:val="clear" w:color="auto" w:fill="FFFFFF"/>
        </w:rPr>
        <w:t>4</w:t>
      </w:r>
      <w:r w:rsidR="004207A4">
        <w:rPr>
          <w:shd w:val="clear" w:color="auto" w:fill="FFFFFF"/>
        </w:rPr>
        <w:t>.5 Feature Space</w:t>
      </w:r>
      <w:bookmarkEnd w:id="60"/>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lastRenderedPageBreak/>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1" w:name="_Toc28254358"/>
      <w:r>
        <w:rPr>
          <w:shd w:val="clear" w:color="auto" w:fill="FFFFFF"/>
        </w:rPr>
        <w:t>4</w:t>
      </w:r>
      <w:r w:rsidR="0088541B">
        <w:rPr>
          <w:shd w:val="clear" w:color="auto" w:fill="FFFFFF"/>
        </w:rPr>
        <w:t>.6 Features Engineering Treatment</w:t>
      </w:r>
      <w:bookmarkEnd w:id="61"/>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2" w:name="_Toc26758273"/>
      <w:bookmarkStart w:id="63" w:name="_Toc26758351"/>
      <w:bookmarkStart w:id="64" w:name="_Toc26919524"/>
      <w:bookmarkStart w:id="65" w:name="_Toc28181638"/>
      <w:bookmarkStart w:id="66" w:name="_Toc28221944"/>
      <w:bookmarkStart w:id="67"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2"/>
      <w:bookmarkEnd w:id="63"/>
      <w:bookmarkEnd w:id="64"/>
      <w:bookmarkEnd w:id="65"/>
      <w:r w:rsidR="003168AB" w:rsidRPr="004E51E2">
        <w:rPr>
          <w:rFonts w:cs="Times New Roman"/>
          <w:sz w:val="20"/>
          <w:szCs w:val="20"/>
        </w:rPr>
        <w:t>Categorical Features</w:t>
      </w:r>
      <w:bookmarkEnd w:id="66"/>
      <w:bookmarkEnd w:id="67"/>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68" w:name="_Toc28228813"/>
      <w:r>
        <w:t xml:space="preserve">Table </w:t>
      </w:r>
      <w:fldSimple w:instr=" SEQ Table \* ARABIC ">
        <w:r w:rsidR="00513845">
          <w:rPr>
            <w:noProof/>
          </w:rPr>
          <w:t>5</w:t>
        </w:r>
      </w:fldSimple>
      <w:r>
        <w:t>: Class Count</w:t>
      </w:r>
      <w:bookmarkEnd w:id="68"/>
    </w:p>
    <w:p w:rsidR="007E2B90" w:rsidRDefault="00263144" w:rsidP="00D527CA">
      <w:pPr>
        <w:pStyle w:val="Heading1"/>
        <w:spacing w:line="360" w:lineRule="auto"/>
        <w:jc w:val="both"/>
        <w:rPr>
          <w:shd w:val="clear" w:color="auto" w:fill="FFFFFF"/>
        </w:rPr>
      </w:pPr>
      <w:bookmarkStart w:id="69" w:name="_Toc28254359"/>
      <w:r>
        <w:rPr>
          <w:shd w:val="clear" w:color="auto" w:fill="FFFFFF"/>
        </w:rPr>
        <w:t>4</w:t>
      </w:r>
      <w:r w:rsidR="007E2B90">
        <w:rPr>
          <w:shd w:val="clear" w:color="auto" w:fill="FFFFFF"/>
        </w:rPr>
        <w:t>.7 Sampling</w:t>
      </w:r>
      <w:bookmarkEnd w:id="69"/>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0" w:name="_Toc28254360"/>
      <w:r>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0"/>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E378E8"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lastRenderedPageBreak/>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1" w:name="_Toc28221945"/>
      <w:bookmarkStart w:id="72" w:name="_Toc28263622"/>
      <w:r>
        <w:t xml:space="preserve">Figure </w:t>
      </w:r>
      <w:fldSimple w:instr=" SEQ Figure \* ARABIC ">
        <w:r w:rsidR="00513845">
          <w:rPr>
            <w:noProof/>
          </w:rPr>
          <w:t>6</w:t>
        </w:r>
      </w:fldSimple>
      <w:r>
        <w:t>: SMOTE (Sampling)</w:t>
      </w:r>
      <w:bookmarkEnd w:id="71"/>
      <w:bookmarkEnd w:id="72"/>
    </w:p>
    <w:p w:rsidR="001F3012" w:rsidRPr="001F3012" w:rsidRDefault="001F3012" w:rsidP="001F3012"/>
    <w:p w:rsidR="00577DF6" w:rsidRDefault="00263144" w:rsidP="003D61C0">
      <w:pPr>
        <w:pStyle w:val="Heading2"/>
        <w:rPr>
          <w:shd w:val="clear" w:color="auto" w:fill="FFFFFF"/>
        </w:rPr>
      </w:pPr>
      <w:bookmarkStart w:id="73" w:name="_Toc2825436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3"/>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lastRenderedPageBreak/>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4" w:name="_Toc28254362"/>
      <w:r>
        <w:rPr>
          <w:shd w:val="clear" w:color="auto" w:fill="FFFFFF"/>
        </w:rPr>
        <w:lastRenderedPageBreak/>
        <w:t>Chapter 5</w:t>
      </w:r>
      <w:r w:rsidR="00F67D4B">
        <w:rPr>
          <w:shd w:val="clear" w:color="auto" w:fill="FFFFFF"/>
        </w:rPr>
        <w:t>: Models and Experiments</w:t>
      </w:r>
      <w:bookmarkEnd w:id="74"/>
    </w:p>
    <w:p w:rsidR="00F67D4B" w:rsidRDefault="00F67D4B" w:rsidP="00F67D4B"/>
    <w:p w:rsidR="00F67D4B" w:rsidRDefault="00263144" w:rsidP="00F67D4B">
      <w:pPr>
        <w:pStyle w:val="Heading1"/>
        <w:jc w:val="left"/>
      </w:pPr>
      <w:bookmarkStart w:id="75" w:name="_Toc28254363"/>
      <w:r>
        <w:t>5</w:t>
      </w:r>
      <w:r w:rsidR="00F67D4B">
        <w:t>.1 About Binary Classification</w:t>
      </w:r>
      <w:bookmarkEnd w:id="75"/>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6" w:name="_Toc28254364"/>
      <w:r>
        <w:rPr>
          <w:shd w:val="clear" w:color="auto" w:fill="FFFFFF"/>
        </w:rPr>
        <w:t>5</w:t>
      </w:r>
      <w:r w:rsidR="00F36816">
        <w:rPr>
          <w:shd w:val="clear" w:color="auto" w:fill="FFFFFF"/>
        </w:rPr>
        <w:t>.2 Selected Models</w:t>
      </w:r>
      <w:bookmarkEnd w:id="76"/>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7" w:name="_Toc2825436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7"/>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78" w:name="_Toc28221946"/>
      <w:bookmarkStart w:id="79" w:name="_Toc28263623"/>
      <w:r>
        <w:t xml:space="preserve">Figure </w:t>
      </w:r>
      <w:fldSimple w:instr=" SEQ Figure \* ARABIC ">
        <w:r w:rsidR="00513845">
          <w:rPr>
            <w:noProof/>
          </w:rPr>
          <w:t>7</w:t>
        </w:r>
      </w:fldSimple>
      <w:r>
        <w:t>: Sigmoid function</w:t>
      </w:r>
      <w:bookmarkEnd w:id="78"/>
      <w:bookmarkEnd w:id="79"/>
    </w:p>
    <w:p w:rsidR="001E68C5" w:rsidRDefault="001E68C5" w:rsidP="001E68C5"/>
    <w:p w:rsidR="00C0065C" w:rsidRDefault="00263144" w:rsidP="00212386">
      <w:pPr>
        <w:pStyle w:val="Heading2"/>
        <w:rPr>
          <w:rFonts w:eastAsia="Times New Roman"/>
          <w:lang w:bidi="ar-SA"/>
        </w:rPr>
      </w:pPr>
      <w:bookmarkStart w:id="80" w:name="_Toc2825436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0"/>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lastRenderedPageBreak/>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1" w:name="_Toc2825436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1"/>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2" w:name="_Toc28221947"/>
      <w:bookmarkStart w:id="83" w:name="_Toc28263624"/>
      <w:r>
        <w:t xml:space="preserve">Figure </w:t>
      </w:r>
      <w:fldSimple w:instr=" SEQ Figure \* ARABIC ">
        <w:r w:rsidR="00513845">
          <w:rPr>
            <w:noProof/>
          </w:rPr>
          <w:t>8</w:t>
        </w:r>
      </w:fldSimple>
      <w:r>
        <w:t>: Logistic Vs Linear SVM</w:t>
      </w:r>
      <w:bookmarkEnd w:id="82"/>
      <w:bookmarkEnd w:id="83"/>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4" w:name="_Toc28254368"/>
      <w:r>
        <w:rPr>
          <w:shd w:val="clear" w:color="auto" w:fill="FFFFFF"/>
        </w:rPr>
        <w:lastRenderedPageBreak/>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4"/>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Feedforward is the process of calculating the predicted output and 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 xml:space="preserve">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w:t>
      </w:r>
      <w:r>
        <w:lastRenderedPageBreak/>
        <w:t>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5" w:name="_Toc28221948"/>
      <w:bookmarkStart w:id="86" w:name="_Toc28263625"/>
      <w:r>
        <w:t xml:space="preserve">Figure </w:t>
      </w:r>
      <w:fldSimple w:instr=" SEQ Figure \* ARABIC ">
        <w:r w:rsidR="00513845">
          <w:rPr>
            <w:noProof/>
          </w:rPr>
          <w:t>9</w:t>
        </w:r>
      </w:fldSimple>
      <w:r>
        <w:t>: Artificial Neural Network (Perceptron Basic Model)</w:t>
      </w:r>
      <w:bookmarkEnd w:id="85"/>
      <w:bookmarkEnd w:id="86"/>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7" w:name="_Toc28263626"/>
      <w:r>
        <w:t xml:space="preserve">Figure </w:t>
      </w:r>
      <w:fldSimple w:instr=" SEQ Figure \* ARABIC ">
        <w:r w:rsidR="00513845">
          <w:rPr>
            <w:noProof/>
          </w:rPr>
          <w:t>10</w:t>
        </w:r>
      </w:fldSimple>
      <w:r>
        <w:t>: Training and Validation Error</w:t>
      </w:r>
      <w:bookmarkEnd w:id="87"/>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88" w:name="_Toc28263627"/>
      <w:r>
        <w:t xml:space="preserve">Figure </w:t>
      </w:r>
      <w:fldSimple w:instr=" SEQ Figure \* ARABIC ">
        <w:r w:rsidR="00513845">
          <w:rPr>
            <w:noProof/>
          </w:rPr>
          <w:t>11</w:t>
        </w:r>
      </w:fldSimple>
      <w:r>
        <w:t>: Training and Validation Loss</w:t>
      </w:r>
      <w:bookmarkEnd w:id="88"/>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89" w:name="_Toc28254369"/>
      <w:r>
        <w:rPr>
          <w:shd w:val="clear" w:color="auto" w:fill="FFFFFF"/>
        </w:rPr>
        <w:lastRenderedPageBreak/>
        <w:t>Chapter 6</w:t>
      </w:r>
      <w:r w:rsidR="00F82FF1">
        <w:rPr>
          <w:shd w:val="clear" w:color="auto" w:fill="FFFFFF"/>
        </w:rPr>
        <w:t>: Experiments and Results</w:t>
      </w:r>
      <w:bookmarkEnd w:id="89"/>
    </w:p>
    <w:p w:rsidR="00F82FF1" w:rsidRDefault="00F82FF1" w:rsidP="00F82FF1"/>
    <w:p w:rsidR="00F82FF1" w:rsidRDefault="00263144" w:rsidP="00F82FF1">
      <w:pPr>
        <w:pStyle w:val="Heading2"/>
      </w:pPr>
      <w:bookmarkStart w:id="90" w:name="_Toc28254370"/>
      <w:r>
        <w:t>6</w:t>
      </w:r>
      <w:r w:rsidR="00F82FF1">
        <w:t xml:space="preserve">.1 </w:t>
      </w:r>
      <w:r w:rsidR="00F82FF1" w:rsidRPr="004460AA">
        <w:rPr>
          <w:sz w:val="28"/>
        </w:rPr>
        <w:t>Statistics</w:t>
      </w:r>
      <w:bookmarkEnd w:id="90"/>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1" w:name="_Toc28263628"/>
      <w:r>
        <w:t xml:space="preserve">Figure </w:t>
      </w:r>
      <w:fldSimple w:instr=" SEQ Figure \* ARABIC ">
        <w:r w:rsidR="00513845">
          <w:rPr>
            <w:noProof/>
          </w:rPr>
          <w:t>12</w:t>
        </w:r>
      </w:fldSimple>
      <w:r>
        <w:t>: Patient Age Distribution</w:t>
      </w:r>
      <w:bookmarkEnd w:id="91"/>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2" w:name="_Toc28263629"/>
      <w:r>
        <w:t xml:space="preserve">Figure </w:t>
      </w:r>
      <w:fldSimple w:instr=" SEQ Figure \* ARABIC ">
        <w:r w:rsidR="00513845">
          <w:rPr>
            <w:noProof/>
          </w:rPr>
          <w:t>13</w:t>
        </w:r>
      </w:fldSimple>
      <w:r>
        <w:t>: Patient Length of Stay Distribution</w:t>
      </w:r>
      <w:bookmarkEnd w:id="92"/>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3" w:name="_Toc28263630"/>
      <w:r>
        <w:t xml:space="preserve">Figure </w:t>
      </w:r>
      <w:fldSimple w:instr=" SEQ Figure \* ARABIC ">
        <w:r w:rsidR="00513845">
          <w:rPr>
            <w:noProof/>
          </w:rPr>
          <w:t>14</w:t>
        </w:r>
      </w:fldSimple>
      <w:r>
        <w:t>: Insurance Types Distribution</w:t>
      </w:r>
      <w:bookmarkEnd w:id="93"/>
    </w:p>
    <w:p w:rsidR="000905AC" w:rsidRPr="000905AC" w:rsidRDefault="000905AC" w:rsidP="000905AC"/>
    <w:p w:rsidR="0011460C" w:rsidRDefault="00263144" w:rsidP="003541D3">
      <w:pPr>
        <w:pStyle w:val="Heading2"/>
        <w:rPr>
          <w:shd w:val="clear" w:color="auto" w:fill="FFFFFF"/>
        </w:rPr>
      </w:pPr>
      <w:bookmarkStart w:id="94" w:name="_Toc2825437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4"/>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5" w:name="_Toc28228814"/>
      <w:r>
        <w:t xml:space="preserve">Table </w:t>
      </w:r>
      <w:fldSimple w:instr=" SEQ Table \* ARABIC ">
        <w:r w:rsidR="00513845">
          <w:rPr>
            <w:noProof/>
          </w:rPr>
          <w:t>6</w:t>
        </w:r>
      </w:fldSimple>
      <w:r>
        <w:t>: Results with ADASYN Data Sampling</w:t>
      </w:r>
      <w:bookmarkEnd w:id="95"/>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6" w:name="_Toc28228815"/>
      <w:r>
        <w:t xml:space="preserve">Table </w:t>
      </w:r>
      <w:fldSimple w:instr=" SEQ Table \* ARABIC ">
        <w:r w:rsidR="00513845">
          <w:rPr>
            <w:noProof/>
          </w:rPr>
          <w:t>7</w:t>
        </w:r>
      </w:fldSimple>
      <w:r>
        <w:t>: Results with SMOTE Data Sampling</w:t>
      </w:r>
      <w:bookmarkEnd w:id="96"/>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r>
        <w:rPr>
          <w:shd w:val="clear" w:color="auto" w:fill="FFFFFF"/>
        </w:rPr>
        <w:lastRenderedPageBreak/>
        <w:t>Chapter 7</w:t>
      </w:r>
      <w:r w:rsidR="004C4887">
        <w:rPr>
          <w:shd w:val="clear" w:color="auto" w:fill="FFFFFF"/>
        </w:rPr>
        <w:t>: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r>
        <w:rPr>
          <w:shd w:val="clear" w:color="auto" w:fill="FFFFFF"/>
        </w:rPr>
        <w:t>7</w:t>
      </w:r>
      <w:r w:rsidR="000A1A87">
        <w:rPr>
          <w:shd w:val="clear" w:color="auto" w:fill="FFFFFF"/>
        </w:rPr>
        <w:t xml:space="preserve">.1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7" w:name="_References"/>
      <w:bookmarkStart w:id="98" w:name="_Toc28254372"/>
      <w:bookmarkEnd w:id="97"/>
      <w:r w:rsidRPr="008E37BC">
        <w:rPr>
          <w:shd w:val="clear" w:color="auto" w:fill="FFFFFF"/>
        </w:rPr>
        <w:lastRenderedPageBreak/>
        <w:t>References</w:t>
      </w:r>
      <w:bookmarkEnd w:id="98"/>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 of code shared by the research community</w:t>
      </w:r>
      <w:r w:rsidR="00581EAB">
        <w:rPr>
          <w:rFonts w:cs="Times New Roman"/>
          <w:color w:val="24292E"/>
          <w:shd w:val="clear" w:color="auto" w:fill="FFFFFF"/>
        </w:rPr>
        <w:t xml:space="preserve"> provided by MIT Laboratory for Computational Physiology 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C80F54" w:rsidRDefault="00B93762" w:rsidP="00D527CA">
      <w:pPr>
        <w:tabs>
          <w:tab w:val="right" w:pos="3402"/>
          <w:tab w:val="left" w:pos="3828"/>
        </w:tabs>
        <w:spacing w:line="360" w:lineRule="auto"/>
        <w:rPr>
          <w:rStyle w:val="Hyperlink"/>
          <w:rFonts w:ascii="Bell MT" w:hAnsi="Bell MT"/>
          <w:u w:val="none"/>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C80F54" w:rsidRDefault="00C80F54" w:rsidP="00D527CA">
      <w:pPr>
        <w:tabs>
          <w:tab w:val="right" w:pos="3402"/>
          <w:tab w:val="left" w:pos="3828"/>
        </w:tabs>
        <w:spacing w:line="360" w:lineRule="auto"/>
        <w:rPr>
          <w:rStyle w:val="Hyperlink"/>
          <w:rFonts w:ascii="Bell MT" w:hAnsi="Bell MT"/>
          <w:u w:val="none"/>
        </w:rPr>
      </w:pPr>
    </w:p>
    <w:p w:rsidR="00C80F54" w:rsidRDefault="00C80F54" w:rsidP="00C80F54">
      <w:pPr>
        <w:rPr>
          <w:rFonts w:cs="Times New Roman"/>
          <w:color w:val="222222"/>
          <w:szCs w:val="24"/>
          <w:shd w:val="clear" w:color="auto" w:fill="FFFFFF"/>
        </w:rPr>
      </w:pPr>
      <w:r>
        <w:t xml:space="preserve">[23] </w:t>
      </w:r>
      <w:r w:rsidRPr="00C80F54">
        <w:rPr>
          <w:rFonts w:cs="Times New Roman"/>
          <w:color w:val="222222"/>
          <w:szCs w:val="24"/>
          <w:shd w:val="clear" w:color="auto" w:fill="FFFFFF"/>
        </w:rPr>
        <w:t>Data, MIT Critical. </w:t>
      </w:r>
      <w:r w:rsidRPr="00C80F54">
        <w:rPr>
          <w:rFonts w:cs="Times New Roman"/>
          <w:i/>
          <w:iCs/>
          <w:color w:val="222222"/>
          <w:szCs w:val="24"/>
          <w:shd w:val="clear" w:color="auto" w:fill="FFFFFF"/>
        </w:rPr>
        <w:t>Secondary Analysis of Electronic Health Records</w:t>
      </w:r>
      <w:r w:rsidRPr="00C80F54">
        <w:rPr>
          <w:rFonts w:cs="Times New Roman"/>
          <w:color w:val="222222"/>
          <w:szCs w:val="24"/>
          <w:shd w:val="clear" w:color="auto" w:fill="FFFFFF"/>
        </w:rPr>
        <w:t>. Springer International Publishing, 2016.</w:t>
      </w:r>
    </w:p>
    <w:p w:rsidR="00AF6F81" w:rsidRDefault="00AF6F81" w:rsidP="00C80F54">
      <w:pPr>
        <w:rPr>
          <w:rFonts w:cs="Times New Roman"/>
          <w:color w:val="222222"/>
          <w:szCs w:val="24"/>
          <w:shd w:val="clear" w:color="auto" w:fill="FFFFFF"/>
        </w:rPr>
      </w:pPr>
      <w:r>
        <w:rPr>
          <w:rFonts w:cs="Times New Roman"/>
          <w:color w:val="222222"/>
          <w:szCs w:val="24"/>
          <w:shd w:val="clear" w:color="auto" w:fill="FFFFFF"/>
        </w:rPr>
        <w:lastRenderedPageBreak/>
        <w:t xml:space="preserve">[24] </w:t>
      </w:r>
      <w:r w:rsidRPr="00AF6F81">
        <w:rPr>
          <w:rFonts w:cs="Times New Roman"/>
          <w:color w:val="222222"/>
          <w:szCs w:val="24"/>
          <w:shd w:val="clear" w:color="auto" w:fill="FFFFFF"/>
        </w:rPr>
        <w:t>Rapsang, Amy Grace, and Devajit C. Shyam. "Scoring systems in the intensive care unit: a compendium." </w:t>
      </w:r>
      <w:r w:rsidRPr="00AF6F81">
        <w:rPr>
          <w:rFonts w:cs="Times New Roman"/>
          <w:i/>
          <w:iCs/>
          <w:color w:val="222222"/>
          <w:szCs w:val="24"/>
          <w:shd w:val="clear" w:color="auto" w:fill="FFFFFF"/>
        </w:rPr>
        <w:t>Indian journal of critical care medicine: peer-reviewed, official publication of Indian Society of Critical Care Medicine</w:t>
      </w:r>
      <w:r w:rsidRPr="00AF6F81">
        <w:rPr>
          <w:rFonts w:cs="Times New Roman"/>
          <w:color w:val="222222"/>
          <w:szCs w:val="24"/>
          <w:shd w:val="clear" w:color="auto" w:fill="FFFFFF"/>
        </w:rPr>
        <w:t> 18, no. 4 (2014): 220.</w:t>
      </w:r>
    </w:p>
    <w:p w:rsidR="0087622D" w:rsidRDefault="0087622D" w:rsidP="00C80F54">
      <w:pPr>
        <w:rPr>
          <w:rFonts w:cs="Times New Roman"/>
          <w:color w:val="222222"/>
          <w:szCs w:val="24"/>
          <w:shd w:val="clear" w:color="auto" w:fill="FFFFFF"/>
        </w:rPr>
      </w:pPr>
    </w:p>
    <w:p w:rsidR="0087622D" w:rsidRDefault="00A53C75" w:rsidP="00C80F54">
      <w:pPr>
        <w:rPr>
          <w:rFonts w:cs="Times New Roman"/>
          <w:color w:val="222222"/>
          <w:szCs w:val="24"/>
          <w:shd w:val="clear" w:color="auto" w:fill="FFFFFF"/>
        </w:rPr>
      </w:pPr>
      <w:r>
        <w:t xml:space="preserve">[25] </w:t>
      </w:r>
      <w:r w:rsidRPr="00A53C75">
        <w:rPr>
          <w:rFonts w:cs="Times New Roman"/>
          <w:color w:val="222222"/>
          <w:szCs w:val="24"/>
          <w:shd w:val="clear" w:color="auto" w:fill="FFFFFF"/>
        </w:rPr>
        <w:t>Kury, Fabrício SP, Vojtech Huser, and James J. Cimino. "Reproducing a prospective clinical study as a computational retrospective study in MIMIC-II." In </w:t>
      </w:r>
      <w:r w:rsidRPr="00A53C75">
        <w:rPr>
          <w:rFonts w:cs="Times New Roman"/>
          <w:i/>
          <w:iCs/>
          <w:color w:val="222222"/>
          <w:szCs w:val="24"/>
          <w:shd w:val="clear" w:color="auto" w:fill="FFFFFF"/>
        </w:rPr>
        <w:t>AMIA Annual Symposium Proceedings</w:t>
      </w:r>
      <w:r w:rsidRPr="00A53C75">
        <w:rPr>
          <w:rFonts w:cs="Times New Roman"/>
          <w:color w:val="222222"/>
          <w:szCs w:val="24"/>
          <w:shd w:val="clear" w:color="auto" w:fill="FFFFFF"/>
        </w:rPr>
        <w:t>, vol. 2015, p. 804. American Medical Informatics Association, 2015.</w:t>
      </w:r>
    </w:p>
    <w:p w:rsidR="00125B06" w:rsidRDefault="00125B06" w:rsidP="00C80F54">
      <w:pPr>
        <w:rPr>
          <w:rFonts w:cs="Times New Roman"/>
          <w:color w:val="222222"/>
          <w:szCs w:val="24"/>
          <w:shd w:val="clear" w:color="auto" w:fill="FFFFFF"/>
        </w:rPr>
      </w:pPr>
    </w:p>
    <w:p w:rsidR="00125B06" w:rsidRPr="00C80F54" w:rsidRDefault="00125B06" w:rsidP="00C80F54">
      <w:r>
        <w:rPr>
          <w:rFonts w:cs="Times New Roman"/>
          <w:color w:val="222222"/>
          <w:szCs w:val="24"/>
          <w:shd w:val="clear" w:color="auto" w:fill="FFFFFF"/>
        </w:rPr>
        <w:t xml:space="preserve">[26] </w:t>
      </w:r>
      <w:r w:rsidRPr="00125B06">
        <w:rPr>
          <w:rFonts w:cs="Times New Roman"/>
          <w:color w:val="222222"/>
          <w:szCs w:val="24"/>
          <w:shd w:val="clear" w:color="auto" w:fill="FFFFFF"/>
        </w:rPr>
        <w:t>Bates, David W., Suchi Saria, Lucila Ohno-Machado, Anand Shah, and Gabriel Escobar. "Big data in health care: using analytics to identify and manage high-risk and high-cost patients." Health Affairs 33, no. 7 (2014): 1123-1131.</w:t>
      </w:r>
    </w:p>
    <w:p w:rsidR="00BF7743" w:rsidRDefault="00EC4D77" w:rsidP="00C80F54">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E378E8" w:rsidP="00BF7743">
      <w:pPr>
        <w:pStyle w:val="ListParagraph"/>
        <w:numPr>
          <w:ilvl w:val="0"/>
          <w:numId w:val="17"/>
        </w:numPr>
        <w:rPr>
          <w:rStyle w:val="Hyperlink"/>
          <w:rFonts w:ascii="Bell MT" w:hAnsi="Bell MT"/>
          <w:u w:val="none"/>
        </w:rPr>
      </w:pPr>
      <w:hyperlink r:id="rId44"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E378E8"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C16" w:rsidRDefault="00410C16" w:rsidP="00E62942">
      <w:r>
        <w:separator/>
      </w:r>
    </w:p>
  </w:endnote>
  <w:endnote w:type="continuationSeparator" w:id="0">
    <w:p w:rsidR="00410C16" w:rsidRDefault="00410C16"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E8" w:rsidRDefault="00E378E8">
    <w:pPr>
      <w:pStyle w:val="Footer"/>
      <w:jc w:val="center"/>
    </w:pPr>
  </w:p>
  <w:p w:rsidR="00E378E8" w:rsidRDefault="00E3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C16" w:rsidRDefault="00410C16" w:rsidP="00E62942">
      <w:r>
        <w:separator/>
      </w:r>
    </w:p>
  </w:footnote>
  <w:footnote w:type="continuationSeparator" w:id="0">
    <w:p w:rsidR="00410C16" w:rsidRDefault="00410C16" w:rsidP="00E62942">
      <w:r>
        <w:continuationSeparator/>
      </w:r>
    </w:p>
  </w:footnote>
  <w:footnote w:id="1">
    <w:p w:rsidR="00E378E8" w:rsidRDefault="00E378E8">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E378E8" w:rsidRDefault="00E378E8">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E378E8" w:rsidRDefault="00E378E8">
      <w:pPr>
        <w:pStyle w:val="FootnoteText"/>
      </w:pPr>
      <w:r>
        <w:rPr>
          <w:rStyle w:val="FootnoteReference"/>
        </w:rPr>
        <w:footnoteRef/>
      </w:r>
      <w:r>
        <w:t xml:space="preserve"> </w:t>
      </w:r>
      <w:hyperlink r:id="rId3" w:history="1">
        <w:r>
          <w:rPr>
            <w:rStyle w:val="Hyperlink"/>
          </w:rPr>
          <w:t>https://mit-lcp.github.io/mimic-schema-spy/</w:t>
        </w:r>
      </w:hyperlink>
    </w:p>
  </w:footnote>
  <w:footnote w:id="4">
    <w:p w:rsidR="00E378E8" w:rsidRDefault="00E378E8">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F01F2E">
          <w:rPr>
            <w:noProof/>
          </w:rPr>
          <w:t>12</w:t>
        </w:r>
        <w:r>
          <w:rPr>
            <w:noProof/>
          </w:rPr>
          <w:fldChar w:fldCharType="end"/>
        </w:r>
      </w:p>
    </w:sdtContent>
  </w:sdt>
  <w:p w:rsidR="00E378E8" w:rsidRDefault="00E378E8"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F01F2E">
          <w:rPr>
            <w:noProof/>
          </w:rPr>
          <w:t>1</w:t>
        </w:r>
        <w:r>
          <w:rPr>
            <w:noProof/>
          </w:rPr>
          <w:fldChar w:fldCharType="end"/>
        </w:r>
      </w:p>
    </w:sdtContent>
  </w:sdt>
  <w:p w:rsidR="00E378E8" w:rsidRDefault="00E3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800"/>
    <w:rsid w:val="00006A0C"/>
    <w:rsid w:val="00006F32"/>
    <w:rsid w:val="0000721C"/>
    <w:rsid w:val="000118D2"/>
    <w:rsid w:val="000131F7"/>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1581"/>
    <w:rsid w:val="000A1A87"/>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6BC"/>
    <w:rsid w:val="001F18CE"/>
    <w:rsid w:val="001F3012"/>
    <w:rsid w:val="001F3103"/>
    <w:rsid w:val="001F47D4"/>
    <w:rsid w:val="001F50E7"/>
    <w:rsid w:val="002020CB"/>
    <w:rsid w:val="00203B22"/>
    <w:rsid w:val="00206491"/>
    <w:rsid w:val="002102A0"/>
    <w:rsid w:val="00212386"/>
    <w:rsid w:val="0021299A"/>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41D9D"/>
    <w:rsid w:val="00243EFE"/>
    <w:rsid w:val="002442D7"/>
    <w:rsid w:val="00244858"/>
    <w:rsid w:val="00245E5A"/>
    <w:rsid w:val="002463B5"/>
    <w:rsid w:val="00246629"/>
    <w:rsid w:val="00252CFD"/>
    <w:rsid w:val="00253F39"/>
    <w:rsid w:val="0025534C"/>
    <w:rsid w:val="00255D6F"/>
    <w:rsid w:val="002564AF"/>
    <w:rsid w:val="00256708"/>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BB0"/>
    <w:rsid w:val="002860C6"/>
    <w:rsid w:val="002863E6"/>
    <w:rsid w:val="00290913"/>
    <w:rsid w:val="00292BC4"/>
    <w:rsid w:val="00293670"/>
    <w:rsid w:val="00294F76"/>
    <w:rsid w:val="002957CE"/>
    <w:rsid w:val="002976F9"/>
    <w:rsid w:val="002A0BB5"/>
    <w:rsid w:val="002A1CDF"/>
    <w:rsid w:val="002A288F"/>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109F5"/>
    <w:rsid w:val="00311AF3"/>
    <w:rsid w:val="0031288E"/>
    <w:rsid w:val="0031534B"/>
    <w:rsid w:val="0031571B"/>
    <w:rsid w:val="003168AB"/>
    <w:rsid w:val="00321AD0"/>
    <w:rsid w:val="00322075"/>
    <w:rsid w:val="00322C0E"/>
    <w:rsid w:val="0032315D"/>
    <w:rsid w:val="00324F6F"/>
    <w:rsid w:val="00327EC5"/>
    <w:rsid w:val="0033124A"/>
    <w:rsid w:val="0033517D"/>
    <w:rsid w:val="00335AB7"/>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23B5"/>
    <w:rsid w:val="003723E4"/>
    <w:rsid w:val="00373159"/>
    <w:rsid w:val="003740DB"/>
    <w:rsid w:val="00375622"/>
    <w:rsid w:val="00375CED"/>
    <w:rsid w:val="00376F14"/>
    <w:rsid w:val="003772CE"/>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0C16"/>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32"/>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2A28"/>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26AB"/>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1762"/>
    <w:rsid w:val="0087376F"/>
    <w:rsid w:val="0087593F"/>
    <w:rsid w:val="00875A7C"/>
    <w:rsid w:val="0087622D"/>
    <w:rsid w:val="00876546"/>
    <w:rsid w:val="008770D6"/>
    <w:rsid w:val="008821ED"/>
    <w:rsid w:val="00884307"/>
    <w:rsid w:val="00884AB3"/>
    <w:rsid w:val="00884D9C"/>
    <w:rsid w:val="0088541B"/>
    <w:rsid w:val="00885E2B"/>
    <w:rsid w:val="0088740F"/>
    <w:rsid w:val="00890768"/>
    <w:rsid w:val="00890E91"/>
    <w:rsid w:val="00890F74"/>
    <w:rsid w:val="00891F88"/>
    <w:rsid w:val="00893774"/>
    <w:rsid w:val="00895385"/>
    <w:rsid w:val="00896363"/>
    <w:rsid w:val="008A10FC"/>
    <w:rsid w:val="008A1B75"/>
    <w:rsid w:val="008A1EE4"/>
    <w:rsid w:val="008A33C7"/>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426D"/>
    <w:rsid w:val="00984B1A"/>
    <w:rsid w:val="00985878"/>
    <w:rsid w:val="00986465"/>
    <w:rsid w:val="0098794A"/>
    <w:rsid w:val="00987D75"/>
    <w:rsid w:val="009939BC"/>
    <w:rsid w:val="00993D57"/>
    <w:rsid w:val="009968C6"/>
    <w:rsid w:val="009A0244"/>
    <w:rsid w:val="009A0734"/>
    <w:rsid w:val="009A1887"/>
    <w:rsid w:val="009A2043"/>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4B1D"/>
    <w:rsid w:val="00A16985"/>
    <w:rsid w:val="00A1708B"/>
    <w:rsid w:val="00A17931"/>
    <w:rsid w:val="00A23147"/>
    <w:rsid w:val="00A23FE0"/>
    <w:rsid w:val="00A24879"/>
    <w:rsid w:val="00A257B8"/>
    <w:rsid w:val="00A30A40"/>
    <w:rsid w:val="00A30CF0"/>
    <w:rsid w:val="00A31247"/>
    <w:rsid w:val="00A33DB9"/>
    <w:rsid w:val="00A34270"/>
    <w:rsid w:val="00A42258"/>
    <w:rsid w:val="00A433D4"/>
    <w:rsid w:val="00A44748"/>
    <w:rsid w:val="00A469B8"/>
    <w:rsid w:val="00A5019A"/>
    <w:rsid w:val="00A512B7"/>
    <w:rsid w:val="00A52104"/>
    <w:rsid w:val="00A53386"/>
    <w:rsid w:val="00A53C75"/>
    <w:rsid w:val="00A55175"/>
    <w:rsid w:val="00A555AF"/>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7134"/>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757E"/>
    <w:rsid w:val="00AF0F03"/>
    <w:rsid w:val="00AF1C40"/>
    <w:rsid w:val="00AF3A56"/>
    <w:rsid w:val="00AF4244"/>
    <w:rsid w:val="00AF45EF"/>
    <w:rsid w:val="00AF5C12"/>
    <w:rsid w:val="00AF6365"/>
    <w:rsid w:val="00AF697D"/>
    <w:rsid w:val="00AF6F81"/>
    <w:rsid w:val="00B00629"/>
    <w:rsid w:val="00B022CA"/>
    <w:rsid w:val="00B03DD3"/>
    <w:rsid w:val="00B04412"/>
    <w:rsid w:val="00B04816"/>
    <w:rsid w:val="00B06FFA"/>
    <w:rsid w:val="00B117DF"/>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AFC"/>
    <w:rsid w:val="00CF35A9"/>
    <w:rsid w:val="00CF659E"/>
    <w:rsid w:val="00D04C5A"/>
    <w:rsid w:val="00D05139"/>
    <w:rsid w:val="00D0599B"/>
    <w:rsid w:val="00D05DFA"/>
    <w:rsid w:val="00D125FB"/>
    <w:rsid w:val="00D13B63"/>
    <w:rsid w:val="00D15B08"/>
    <w:rsid w:val="00D16B7B"/>
    <w:rsid w:val="00D176B0"/>
    <w:rsid w:val="00D17E2E"/>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A4D"/>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7B62"/>
    <w:rsid w:val="00E502C2"/>
    <w:rsid w:val="00E51384"/>
    <w:rsid w:val="00E51E66"/>
    <w:rsid w:val="00E54364"/>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37B"/>
    <w:rsid w:val="00F2465A"/>
    <w:rsid w:val="00F25D4D"/>
    <w:rsid w:val="00F26905"/>
    <w:rsid w:val="00F31611"/>
    <w:rsid w:val="00F33DD9"/>
    <w:rsid w:val="00F34444"/>
    <w:rsid w:val="00F36816"/>
    <w:rsid w:val="00F40E34"/>
    <w:rsid w:val="00F44412"/>
    <w:rsid w:val="00F4466F"/>
    <w:rsid w:val="00F44CF8"/>
    <w:rsid w:val="00F47CFE"/>
    <w:rsid w:val="00F508B9"/>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616"/>
    <w:rsid w:val="00FE2532"/>
    <w:rsid w:val="00FE2755"/>
    <w:rsid w:val="00FE2C59"/>
    <w:rsid w:val="00FE2FCB"/>
    <w:rsid w:val="00FE3E48"/>
    <w:rsid w:val="00FE49BD"/>
    <w:rsid w:val="00FE5F8F"/>
    <w:rsid w:val="00FE6497"/>
    <w:rsid w:val="00FE6708"/>
    <w:rsid w:val="00FE69EA"/>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6A67-0B77-4EDA-81BC-EE2ACBD1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3976</TotalTime>
  <Pages>48</Pages>
  <Words>10190</Words>
  <Characters>58085</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68139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1871</cp:revision>
  <cp:lastPrinted>2019-12-26T09:44:00Z</cp:lastPrinted>
  <dcterms:created xsi:type="dcterms:W3CDTF">2015-09-04T11:07:00Z</dcterms:created>
  <dcterms:modified xsi:type="dcterms:W3CDTF">2019-12-28T22:04:00Z</dcterms:modified>
</cp:coreProperties>
</file>