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B90" w:rsidRPr="00D65525" w:rsidRDefault="005B4B90" w:rsidP="009222CF">
      <w:pPr>
        <w:tabs>
          <w:tab w:val="left" w:pos="603"/>
        </w:tabs>
        <w:spacing w:line="360" w:lineRule="auto"/>
        <w:ind w:left="90" w:right="6"/>
        <w:jc w:val="center"/>
        <w:rPr>
          <w:rFonts w:ascii="Times New Roman" w:eastAsia="Times New Roman" w:hAnsi="Times New Roman" w:cs="Times New Roman"/>
          <w:b/>
          <w:sz w:val="24"/>
          <w:szCs w:val="24"/>
        </w:rPr>
      </w:pPr>
      <w:r w:rsidRPr="00D65525">
        <w:rPr>
          <w:rFonts w:ascii="Times New Roman" w:eastAsia="Times New Roman" w:hAnsi="Times New Roman" w:cs="Times New Roman"/>
          <w:b/>
          <w:sz w:val="24"/>
          <w:szCs w:val="24"/>
        </w:rPr>
        <w:t>TITLE</w:t>
      </w:r>
    </w:p>
    <w:p w:rsidR="005B4B90" w:rsidRPr="00D65525" w:rsidRDefault="005B4B90" w:rsidP="009222CF">
      <w:pPr>
        <w:tabs>
          <w:tab w:val="left" w:pos="603"/>
        </w:tabs>
        <w:spacing w:line="360" w:lineRule="auto"/>
        <w:ind w:left="90" w:right="6"/>
        <w:jc w:val="center"/>
        <w:rPr>
          <w:rFonts w:ascii="Times New Roman" w:eastAsia="Times New Roman" w:hAnsi="Times New Roman" w:cs="Times New Roman"/>
          <w:b/>
          <w:sz w:val="24"/>
          <w:szCs w:val="24"/>
        </w:rPr>
      </w:pPr>
      <w:r w:rsidRPr="00D65525">
        <w:rPr>
          <w:rFonts w:ascii="Times New Roman" w:hAnsi="Times New Roman" w:cs="Times New Roman"/>
          <w:b/>
          <w:sz w:val="24"/>
          <w:szCs w:val="24"/>
        </w:rPr>
        <w:t>THE IMPACT OF COGNITIVE RESERVE AND NEUROPSYCHOLOGICAL PREDICTORS ON EPISODIC MEMORY RECALL POST-TDCS</w:t>
      </w:r>
    </w:p>
    <w:p w:rsidR="00821C2D" w:rsidRDefault="00821C2D" w:rsidP="009222CF">
      <w:pPr>
        <w:spacing w:line="360" w:lineRule="auto"/>
        <w:ind w:left="90" w:right="6"/>
        <w:jc w:val="center"/>
        <w:rPr>
          <w:rFonts w:ascii="Times New Roman" w:eastAsia="Times New Roman" w:hAnsi="Times New Roman" w:cs="Times New Roman"/>
          <w:b/>
          <w:sz w:val="24"/>
          <w:szCs w:val="24"/>
        </w:rPr>
      </w:pPr>
    </w:p>
    <w:p w:rsidR="00821C2D" w:rsidRDefault="00821C2D" w:rsidP="009222CF">
      <w:pPr>
        <w:spacing w:line="360" w:lineRule="auto"/>
        <w:ind w:left="90" w:right="6"/>
        <w:jc w:val="center"/>
        <w:rPr>
          <w:rFonts w:ascii="Times New Roman" w:eastAsia="Times New Roman" w:hAnsi="Times New Roman" w:cs="Times New Roman"/>
          <w:b/>
          <w:sz w:val="24"/>
          <w:szCs w:val="24"/>
        </w:rPr>
      </w:pPr>
    </w:p>
    <w:p w:rsidR="00821C2D" w:rsidRDefault="00821C2D" w:rsidP="009222CF">
      <w:pPr>
        <w:spacing w:line="360" w:lineRule="auto"/>
        <w:ind w:left="90" w:right="6"/>
        <w:jc w:val="center"/>
        <w:rPr>
          <w:rFonts w:ascii="Times New Roman" w:eastAsia="Times New Roman" w:hAnsi="Times New Roman" w:cs="Times New Roman"/>
          <w:b/>
          <w:sz w:val="24"/>
          <w:szCs w:val="24"/>
        </w:rPr>
      </w:pPr>
    </w:p>
    <w:p w:rsidR="005B4B90" w:rsidRPr="00D65525" w:rsidRDefault="005B4B90" w:rsidP="009222CF">
      <w:pPr>
        <w:spacing w:line="360" w:lineRule="auto"/>
        <w:ind w:left="90" w:right="6"/>
        <w:jc w:val="center"/>
        <w:rPr>
          <w:rFonts w:ascii="Times New Roman" w:eastAsia="Times New Roman" w:hAnsi="Times New Roman" w:cs="Times New Roman"/>
          <w:b/>
          <w:sz w:val="24"/>
          <w:szCs w:val="24"/>
        </w:rPr>
      </w:pPr>
      <w:r w:rsidRPr="00D65525">
        <w:rPr>
          <w:rFonts w:ascii="Times New Roman" w:eastAsia="Times New Roman" w:hAnsi="Times New Roman" w:cs="Times New Roman"/>
          <w:b/>
          <w:sz w:val="24"/>
          <w:szCs w:val="24"/>
        </w:rPr>
        <w:t>MULTIPLE REGRESSION REPORT</w:t>
      </w:r>
    </w:p>
    <w:p w:rsidR="000B3533" w:rsidRPr="00D65525" w:rsidRDefault="000B3533" w:rsidP="009222CF">
      <w:pPr>
        <w:spacing w:line="360" w:lineRule="auto"/>
        <w:jc w:val="center"/>
        <w:rPr>
          <w:rFonts w:ascii="Times New Roman" w:hAnsi="Times New Roman" w:cs="Times New Roman"/>
          <w:b/>
          <w:sz w:val="24"/>
          <w:szCs w:val="24"/>
        </w:rPr>
      </w:pPr>
    </w:p>
    <w:p w:rsidR="00EA27C5" w:rsidRPr="00D65525" w:rsidRDefault="00EA27C5" w:rsidP="00D65525">
      <w:pPr>
        <w:spacing w:line="360" w:lineRule="auto"/>
        <w:jc w:val="both"/>
        <w:rPr>
          <w:rFonts w:ascii="Times New Roman" w:hAnsi="Times New Roman" w:cs="Times New Roman"/>
          <w:b/>
          <w:sz w:val="24"/>
          <w:szCs w:val="24"/>
        </w:rPr>
      </w:pPr>
    </w:p>
    <w:p w:rsidR="00EA27C5" w:rsidRPr="00D65525" w:rsidRDefault="00EA27C5" w:rsidP="00D65525">
      <w:pPr>
        <w:spacing w:line="360" w:lineRule="auto"/>
        <w:jc w:val="both"/>
        <w:rPr>
          <w:rFonts w:ascii="Times New Roman" w:hAnsi="Times New Roman" w:cs="Times New Roman"/>
          <w:b/>
          <w:sz w:val="24"/>
          <w:szCs w:val="24"/>
        </w:rPr>
      </w:pPr>
    </w:p>
    <w:p w:rsidR="00EA27C5" w:rsidRPr="00D65525" w:rsidRDefault="00EA27C5" w:rsidP="00D65525">
      <w:pPr>
        <w:spacing w:line="360" w:lineRule="auto"/>
        <w:jc w:val="both"/>
        <w:rPr>
          <w:rFonts w:ascii="Times New Roman" w:hAnsi="Times New Roman" w:cs="Times New Roman"/>
          <w:b/>
          <w:sz w:val="24"/>
          <w:szCs w:val="24"/>
        </w:rPr>
      </w:pPr>
    </w:p>
    <w:p w:rsidR="00EA27C5" w:rsidRPr="00D65525" w:rsidRDefault="00EA27C5" w:rsidP="00D65525">
      <w:pPr>
        <w:spacing w:line="360" w:lineRule="auto"/>
        <w:jc w:val="both"/>
        <w:rPr>
          <w:rFonts w:ascii="Times New Roman" w:hAnsi="Times New Roman" w:cs="Times New Roman"/>
          <w:b/>
          <w:sz w:val="24"/>
          <w:szCs w:val="24"/>
        </w:rPr>
      </w:pPr>
    </w:p>
    <w:p w:rsidR="00EA27C5" w:rsidRPr="00D65525" w:rsidRDefault="00EA27C5" w:rsidP="00821C2D">
      <w:pPr>
        <w:spacing w:line="360" w:lineRule="auto"/>
        <w:jc w:val="center"/>
        <w:rPr>
          <w:rFonts w:ascii="Times New Roman" w:hAnsi="Times New Roman" w:cs="Times New Roman"/>
          <w:b/>
          <w:sz w:val="24"/>
          <w:szCs w:val="24"/>
        </w:rPr>
      </w:pPr>
    </w:p>
    <w:p w:rsidR="00EA27C5" w:rsidRPr="00D65525" w:rsidRDefault="00EA27C5" w:rsidP="00D65525">
      <w:pPr>
        <w:spacing w:line="360" w:lineRule="auto"/>
        <w:jc w:val="both"/>
        <w:rPr>
          <w:rFonts w:ascii="Times New Roman" w:hAnsi="Times New Roman" w:cs="Times New Roman"/>
          <w:b/>
          <w:sz w:val="24"/>
          <w:szCs w:val="24"/>
        </w:rPr>
      </w:pPr>
    </w:p>
    <w:p w:rsidR="00EA27C5" w:rsidRPr="00D65525" w:rsidRDefault="00EA27C5" w:rsidP="00D65525">
      <w:pPr>
        <w:spacing w:line="360" w:lineRule="auto"/>
        <w:jc w:val="both"/>
        <w:rPr>
          <w:rFonts w:ascii="Times New Roman" w:hAnsi="Times New Roman" w:cs="Times New Roman"/>
          <w:b/>
          <w:sz w:val="24"/>
          <w:szCs w:val="24"/>
        </w:rPr>
      </w:pPr>
    </w:p>
    <w:p w:rsidR="00EA27C5" w:rsidRPr="00D65525" w:rsidRDefault="00EA27C5" w:rsidP="00D65525">
      <w:pPr>
        <w:spacing w:line="360" w:lineRule="auto"/>
        <w:jc w:val="both"/>
        <w:rPr>
          <w:rFonts w:ascii="Times New Roman" w:hAnsi="Times New Roman" w:cs="Times New Roman"/>
          <w:b/>
          <w:sz w:val="24"/>
          <w:szCs w:val="24"/>
        </w:rPr>
      </w:pPr>
    </w:p>
    <w:p w:rsidR="00EA27C5" w:rsidRPr="00D65525" w:rsidRDefault="00EA27C5" w:rsidP="00D65525">
      <w:pPr>
        <w:spacing w:line="360" w:lineRule="auto"/>
        <w:jc w:val="both"/>
        <w:rPr>
          <w:rFonts w:ascii="Times New Roman" w:hAnsi="Times New Roman" w:cs="Times New Roman"/>
          <w:b/>
          <w:sz w:val="24"/>
          <w:szCs w:val="24"/>
        </w:rPr>
      </w:pPr>
    </w:p>
    <w:p w:rsidR="00EA27C5" w:rsidRPr="00D65525" w:rsidRDefault="00EA27C5" w:rsidP="00D65525">
      <w:pPr>
        <w:spacing w:line="360" w:lineRule="auto"/>
        <w:jc w:val="both"/>
        <w:rPr>
          <w:rFonts w:ascii="Times New Roman" w:hAnsi="Times New Roman" w:cs="Times New Roman"/>
          <w:b/>
          <w:sz w:val="24"/>
          <w:szCs w:val="24"/>
        </w:rPr>
      </w:pPr>
    </w:p>
    <w:p w:rsidR="00EA27C5" w:rsidRPr="00D65525" w:rsidRDefault="00EA27C5" w:rsidP="00D65525">
      <w:pPr>
        <w:spacing w:line="360" w:lineRule="auto"/>
        <w:jc w:val="both"/>
        <w:rPr>
          <w:rFonts w:ascii="Times New Roman" w:hAnsi="Times New Roman" w:cs="Times New Roman"/>
          <w:b/>
          <w:sz w:val="24"/>
          <w:szCs w:val="24"/>
        </w:rPr>
      </w:pPr>
    </w:p>
    <w:p w:rsidR="00EA27C5" w:rsidRPr="00D65525" w:rsidRDefault="00EA27C5" w:rsidP="00D65525">
      <w:pPr>
        <w:spacing w:line="360" w:lineRule="auto"/>
        <w:jc w:val="both"/>
        <w:rPr>
          <w:rFonts w:ascii="Times New Roman" w:hAnsi="Times New Roman" w:cs="Times New Roman"/>
          <w:b/>
          <w:sz w:val="24"/>
          <w:szCs w:val="24"/>
        </w:rPr>
      </w:pPr>
    </w:p>
    <w:p w:rsidR="00EA27C5" w:rsidRPr="00D65525" w:rsidRDefault="00EA27C5" w:rsidP="00D65525">
      <w:pPr>
        <w:spacing w:line="360" w:lineRule="auto"/>
        <w:jc w:val="both"/>
        <w:rPr>
          <w:rFonts w:ascii="Times New Roman" w:hAnsi="Times New Roman" w:cs="Times New Roman"/>
          <w:b/>
          <w:sz w:val="24"/>
          <w:szCs w:val="24"/>
        </w:rPr>
      </w:pPr>
    </w:p>
    <w:p w:rsidR="00EA27C5" w:rsidRPr="00D65525" w:rsidRDefault="00EA27C5" w:rsidP="00D65525">
      <w:pPr>
        <w:spacing w:line="360" w:lineRule="auto"/>
        <w:jc w:val="both"/>
        <w:rPr>
          <w:rFonts w:ascii="Times New Roman" w:hAnsi="Times New Roman" w:cs="Times New Roman"/>
          <w:b/>
          <w:sz w:val="24"/>
          <w:szCs w:val="24"/>
        </w:rPr>
      </w:pPr>
    </w:p>
    <w:p w:rsidR="00EA27C5" w:rsidRPr="00D65525" w:rsidRDefault="00EA27C5" w:rsidP="00D65525">
      <w:pPr>
        <w:spacing w:line="360" w:lineRule="auto"/>
        <w:jc w:val="both"/>
        <w:rPr>
          <w:rFonts w:ascii="Times New Roman" w:hAnsi="Times New Roman" w:cs="Times New Roman"/>
          <w:b/>
          <w:sz w:val="24"/>
          <w:szCs w:val="24"/>
        </w:rPr>
      </w:pPr>
    </w:p>
    <w:p w:rsidR="00EA27C5" w:rsidRPr="00D65525" w:rsidRDefault="00EA27C5" w:rsidP="00D65525">
      <w:pPr>
        <w:spacing w:line="360" w:lineRule="auto"/>
        <w:jc w:val="both"/>
        <w:rPr>
          <w:rFonts w:ascii="Times New Roman" w:hAnsi="Times New Roman" w:cs="Times New Roman"/>
          <w:b/>
          <w:sz w:val="24"/>
          <w:szCs w:val="24"/>
        </w:rPr>
      </w:pPr>
    </w:p>
    <w:p w:rsidR="00EA27C5" w:rsidRPr="00D65525" w:rsidRDefault="00EA27C5" w:rsidP="00D65525">
      <w:pPr>
        <w:spacing w:line="360" w:lineRule="auto"/>
        <w:jc w:val="both"/>
        <w:rPr>
          <w:rFonts w:ascii="Times New Roman" w:hAnsi="Times New Roman" w:cs="Times New Roman"/>
          <w:b/>
          <w:sz w:val="24"/>
          <w:szCs w:val="24"/>
        </w:rPr>
      </w:pPr>
    </w:p>
    <w:p w:rsidR="00EA27C5" w:rsidRPr="00D65525" w:rsidRDefault="00EA27C5" w:rsidP="00D65525">
      <w:pPr>
        <w:spacing w:line="360" w:lineRule="auto"/>
        <w:jc w:val="both"/>
        <w:rPr>
          <w:rFonts w:ascii="Times New Roman" w:hAnsi="Times New Roman" w:cs="Times New Roman"/>
          <w:b/>
          <w:sz w:val="24"/>
          <w:szCs w:val="24"/>
        </w:rPr>
      </w:pPr>
    </w:p>
    <w:p w:rsidR="00EA27C5" w:rsidRPr="00D65525" w:rsidRDefault="00EA27C5" w:rsidP="00D65525">
      <w:pPr>
        <w:spacing w:line="360" w:lineRule="auto"/>
        <w:jc w:val="both"/>
        <w:rPr>
          <w:rFonts w:ascii="Times New Roman" w:hAnsi="Times New Roman" w:cs="Times New Roman"/>
          <w:b/>
          <w:sz w:val="24"/>
          <w:szCs w:val="24"/>
        </w:rPr>
      </w:pPr>
    </w:p>
    <w:p w:rsidR="00EA27C5" w:rsidRPr="00D65525" w:rsidRDefault="00EA27C5" w:rsidP="00D65525">
      <w:pPr>
        <w:spacing w:line="360" w:lineRule="auto"/>
        <w:jc w:val="both"/>
        <w:rPr>
          <w:rFonts w:ascii="Times New Roman" w:hAnsi="Times New Roman" w:cs="Times New Roman"/>
          <w:b/>
          <w:sz w:val="24"/>
          <w:szCs w:val="24"/>
        </w:rPr>
      </w:pPr>
    </w:p>
    <w:p w:rsidR="00EA27C5" w:rsidRPr="00D65525" w:rsidRDefault="00EA27C5" w:rsidP="00D65525">
      <w:pPr>
        <w:spacing w:line="360" w:lineRule="auto"/>
        <w:jc w:val="both"/>
        <w:rPr>
          <w:rFonts w:ascii="Times New Roman" w:hAnsi="Times New Roman" w:cs="Times New Roman"/>
          <w:b/>
          <w:sz w:val="24"/>
          <w:szCs w:val="24"/>
        </w:rPr>
      </w:pPr>
    </w:p>
    <w:p w:rsidR="00EA27C5" w:rsidRPr="00D65525" w:rsidRDefault="00EA27C5" w:rsidP="00D65525">
      <w:pPr>
        <w:spacing w:line="360" w:lineRule="auto"/>
        <w:jc w:val="both"/>
        <w:rPr>
          <w:rFonts w:ascii="Times New Roman" w:hAnsi="Times New Roman" w:cs="Times New Roman"/>
          <w:b/>
          <w:sz w:val="24"/>
          <w:szCs w:val="24"/>
        </w:rPr>
      </w:pPr>
    </w:p>
    <w:p w:rsidR="00EA27C5" w:rsidRPr="00D65525" w:rsidRDefault="00EA27C5" w:rsidP="00D65525">
      <w:pPr>
        <w:spacing w:line="360" w:lineRule="auto"/>
        <w:jc w:val="both"/>
        <w:rPr>
          <w:rFonts w:ascii="Times New Roman" w:hAnsi="Times New Roman" w:cs="Times New Roman"/>
          <w:b/>
          <w:sz w:val="24"/>
          <w:szCs w:val="24"/>
        </w:rPr>
      </w:pPr>
    </w:p>
    <w:p w:rsidR="00EA27C5" w:rsidRDefault="00136694" w:rsidP="001366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ABSTRACT</w:t>
      </w:r>
    </w:p>
    <w:p w:rsidR="00136694" w:rsidRPr="00136694" w:rsidRDefault="00136694" w:rsidP="00D65525">
      <w:pPr>
        <w:spacing w:line="360" w:lineRule="auto"/>
        <w:jc w:val="both"/>
        <w:rPr>
          <w:rFonts w:ascii="Times New Roman" w:hAnsi="Times New Roman" w:cs="Times New Roman"/>
          <w:sz w:val="24"/>
          <w:szCs w:val="24"/>
        </w:rPr>
      </w:pPr>
      <w:r w:rsidRPr="00136694">
        <w:rPr>
          <w:rFonts w:ascii="Times New Roman" w:hAnsi="Times New Roman" w:cs="Times New Roman"/>
          <w:sz w:val="24"/>
          <w:szCs w:val="24"/>
        </w:rPr>
        <w:t>Episodic memory, which is essential for daily functioning, may be impaired in neurodegenerative diseases like Alzheimer's disease. In this study, cognitive reserve and neuropsychological predictors, specifically episodic memory recall, will be the effects of tDCS. The experimental participants comprised 100 healthy adults in their 18- 50 years. Further, the Categorical Cognitive Reserve Index Questionnaire (</w:t>
      </w:r>
      <w:proofErr w:type="spellStart"/>
      <w:r w:rsidRPr="00136694">
        <w:rPr>
          <w:rFonts w:ascii="Times New Roman" w:hAnsi="Times New Roman" w:cs="Times New Roman"/>
          <w:sz w:val="24"/>
          <w:szCs w:val="24"/>
        </w:rPr>
        <w:t>CRIq</w:t>
      </w:r>
      <w:proofErr w:type="spellEnd"/>
      <w:r w:rsidRPr="00136694">
        <w:rPr>
          <w:rFonts w:ascii="Times New Roman" w:hAnsi="Times New Roman" w:cs="Times New Roman"/>
          <w:sz w:val="24"/>
          <w:szCs w:val="24"/>
        </w:rPr>
        <w:t xml:space="preserve">) shall be used to measure the participants' cognitive reserve. The digit span backwards and </w:t>
      </w:r>
      <w:proofErr w:type="spellStart"/>
      <w:r w:rsidRPr="00136694">
        <w:rPr>
          <w:rFonts w:ascii="Times New Roman" w:hAnsi="Times New Roman" w:cs="Times New Roman"/>
          <w:sz w:val="24"/>
          <w:szCs w:val="24"/>
        </w:rPr>
        <w:t>Stroop</w:t>
      </w:r>
      <w:proofErr w:type="spellEnd"/>
      <w:r w:rsidRPr="00136694">
        <w:rPr>
          <w:rFonts w:ascii="Times New Roman" w:hAnsi="Times New Roman" w:cs="Times New Roman"/>
          <w:sz w:val="24"/>
          <w:szCs w:val="24"/>
        </w:rPr>
        <w:t xml:space="preserve"> tests were used to measure the baseline neuropsychological performance. The first research question tested in analysis one demonstrated that cognitive reserve and baseline neuropsychological performance predicted episodic memory recall post-tDCS, accounting for 78.3% of the variance (</w:t>
      </w:r>
      <w:proofErr w:type="spellStart"/>
      <w:r w:rsidRPr="00136694">
        <w:rPr>
          <w:rFonts w:ascii="Times New Roman" w:hAnsi="Times New Roman" w:cs="Times New Roman"/>
          <w:sz w:val="24"/>
          <w:szCs w:val="24"/>
        </w:rPr>
        <w:t>Adj</w:t>
      </w:r>
      <w:proofErr w:type="spellEnd"/>
      <w:r w:rsidRPr="00136694">
        <w:rPr>
          <w:rFonts w:ascii="Times New Roman" w:hAnsi="Times New Roman" w:cs="Times New Roman"/>
          <w:sz w:val="24"/>
          <w:szCs w:val="24"/>
        </w:rPr>
        <w:t xml:space="preserve"> R² = 0.783). Based on these findings, it is posited that only those with greater cognitive reserve and baseline better performance will gain more cognitive enhancement from tDCS. For these reasons, these results can be said to support the cognitive reserve hypothesis, particularly the cognitively enhanced brain network theory that states that higher levels of cognitive reserve allow better use of neural networks to improve memory. In order to design specific cognitive enhancement interventions, including genetic influences, different lifestyle variables, and the life span of these kinds of results should be examined in more detail in subsequent studies.</w:t>
      </w:r>
    </w:p>
    <w:p w:rsidR="00136694" w:rsidRPr="00136694" w:rsidRDefault="00136694" w:rsidP="00136694">
      <w:pPr>
        <w:jc w:val="both"/>
        <w:rPr>
          <w:rFonts w:ascii="Times New Roman" w:eastAsia="Times New Roman" w:hAnsi="Times New Roman" w:cs="Times New Roman"/>
          <w:b/>
          <w:i/>
          <w:color w:val="000000"/>
          <w:sz w:val="24"/>
          <w:szCs w:val="24"/>
          <w:u w:val="single"/>
          <w:lang w:val="en-US" w:eastAsia="en-US"/>
        </w:rPr>
      </w:pPr>
      <w:r w:rsidRPr="00136694">
        <w:rPr>
          <w:rFonts w:ascii="Times New Roman" w:hAnsi="Times New Roman" w:cs="Times New Roman"/>
          <w:b/>
          <w:i/>
          <w:sz w:val="24"/>
          <w:szCs w:val="24"/>
          <w:u w:val="single"/>
        </w:rPr>
        <w:t xml:space="preserve">KEY WORDS </w:t>
      </w:r>
      <w:r w:rsidRPr="00136694">
        <w:rPr>
          <w:rFonts w:ascii="Times New Roman" w:eastAsia="Times New Roman" w:hAnsi="Times New Roman" w:cs="Times New Roman"/>
          <w:b/>
          <w:i/>
          <w:color w:val="000000"/>
          <w:sz w:val="24"/>
          <w:szCs w:val="24"/>
          <w:u w:val="single"/>
          <w:lang w:val="en-US" w:eastAsia="en-US"/>
        </w:rPr>
        <w:t>NEUROPSYCHOLOGICAL PERFORMANCE, tDCS CONDICTION, EPISODIC MEMORY RECALL PEROEMNACE</w:t>
      </w:r>
    </w:p>
    <w:p w:rsidR="00136694" w:rsidRPr="00136694" w:rsidRDefault="00136694" w:rsidP="00136694">
      <w:pPr>
        <w:jc w:val="both"/>
        <w:rPr>
          <w:rFonts w:ascii="Times New Roman" w:eastAsia="Times New Roman" w:hAnsi="Times New Roman" w:cs="Times New Roman"/>
          <w:color w:val="000000"/>
          <w:sz w:val="24"/>
          <w:szCs w:val="24"/>
          <w:lang w:val="en-US" w:eastAsia="en-US"/>
        </w:rPr>
      </w:pPr>
    </w:p>
    <w:p w:rsidR="00136694" w:rsidRPr="00136694" w:rsidRDefault="00136694" w:rsidP="00136694">
      <w:pPr>
        <w:jc w:val="both"/>
        <w:rPr>
          <w:rFonts w:ascii="Times New Roman" w:eastAsia="Times New Roman" w:hAnsi="Times New Roman" w:cs="Times New Roman"/>
          <w:color w:val="000000"/>
          <w:sz w:val="24"/>
          <w:szCs w:val="24"/>
          <w:lang w:val="en-US" w:eastAsia="en-US"/>
        </w:rPr>
      </w:pPr>
    </w:p>
    <w:p w:rsidR="00EA27C5" w:rsidRPr="00D65525" w:rsidRDefault="00EA27C5" w:rsidP="00D65525">
      <w:pPr>
        <w:spacing w:line="360" w:lineRule="auto"/>
        <w:jc w:val="both"/>
        <w:rPr>
          <w:rFonts w:ascii="Times New Roman" w:hAnsi="Times New Roman" w:cs="Times New Roman"/>
          <w:b/>
          <w:sz w:val="24"/>
          <w:szCs w:val="24"/>
        </w:rPr>
      </w:pPr>
    </w:p>
    <w:p w:rsidR="00EA27C5" w:rsidRPr="00D65525" w:rsidRDefault="00EA27C5" w:rsidP="00D65525">
      <w:pPr>
        <w:spacing w:line="360" w:lineRule="auto"/>
        <w:jc w:val="both"/>
        <w:rPr>
          <w:rFonts w:ascii="Times New Roman" w:hAnsi="Times New Roman" w:cs="Times New Roman"/>
          <w:b/>
          <w:sz w:val="24"/>
          <w:szCs w:val="24"/>
        </w:rPr>
      </w:pPr>
    </w:p>
    <w:p w:rsidR="00EA27C5" w:rsidRPr="00D65525" w:rsidRDefault="00EA27C5" w:rsidP="00D65525">
      <w:pPr>
        <w:spacing w:line="360" w:lineRule="auto"/>
        <w:jc w:val="both"/>
        <w:rPr>
          <w:rFonts w:ascii="Times New Roman" w:hAnsi="Times New Roman" w:cs="Times New Roman"/>
          <w:b/>
          <w:sz w:val="24"/>
          <w:szCs w:val="24"/>
        </w:rPr>
      </w:pPr>
    </w:p>
    <w:p w:rsidR="00EA27C5" w:rsidRPr="00D65525" w:rsidRDefault="00EA27C5" w:rsidP="00D65525">
      <w:pPr>
        <w:spacing w:line="360" w:lineRule="auto"/>
        <w:jc w:val="both"/>
        <w:rPr>
          <w:rFonts w:ascii="Times New Roman" w:hAnsi="Times New Roman" w:cs="Times New Roman"/>
          <w:b/>
          <w:sz w:val="24"/>
          <w:szCs w:val="24"/>
        </w:rPr>
      </w:pPr>
    </w:p>
    <w:p w:rsidR="00EA27C5" w:rsidRPr="00D65525" w:rsidRDefault="00EA27C5" w:rsidP="00D65525">
      <w:pPr>
        <w:spacing w:line="360" w:lineRule="auto"/>
        <w:jc w:val="both"/>
        <w:rPr>
          <w:rFonts w:ascii="Times New Roman" w:hAnsi="Times New Roman" w:cs="Times New Roman"/>
          <w:b/>
          <w:sz w:val="24"/>
          <w:szCs w:val="24"/>
        </w:rPr>
      </w:pPr>
    </w:p>
    <w:p w:rsidR="00EA27C5" w:rsidRPr="00D65525" w:rsidRDefault="00EA27C5" w:rsidP="00D65525">
      <w:pPr>
        <w:spacing w:line="360" w:lineRule="auto"/>
        <w:jc w:val="both"/>
        <w:rPr>
          <w:rFonts w:ascii="Times New Roman" w:hAnsi="Times New Roman" w:cs="Times New Roman"/>
          <w:b/>
          <w:sz w:val="24"/>
          <w:szCs w:val="24"/>
        </w:rPr>
      </w:pPr>
    </w:p>
    <w:p w:rsidR="00EA27C5" w:rsidRPr="00D65525" w:rsidRDefault="00EA27C5" w:rsidP="00D65525">
      <w:pPr>
        <w:spacing w:line="360" w:lineRule="auto"/>
        <w:jc w:val="both"/>
        <w:rPr>
          <w:rFonts w:ascii="Times New Roman" w:hAnsi="Times New Roman" w:cs="Times New Roman"/>
          <w:b/>
          <w:sz w:val="24"/>
          <w:szCs w:val="24"/>
        </w:rPr>
      </w:pPr>
    </w:p>
    <w:p w:rsidR="00EA27C5" w:rsidRPr="00D65525" w:rsidRDefault="00EA27C5" w:rsidP="00D65525">
      <w:pPr>
        <w:spacing w:line="360" w:lineRule="auto"/>
        <w:jc w:val="both"/>
        <w:rPr>
          <w:rFonts w:ascii="Times New Roman" w:hAnsi="Times New Roman" w:cs="Times New Roman"/>
          <w:b/>
          <w:sz w:val="24"/>
          <w:szCs w:val="24"/>
        </w:rPr>
      </w:pPr>
    </w:p>
    <w:p w:rsidR="00EA27C5" w:rsidRPr="00D65525" w:rsidRDefault="00EA27C5" w:rsidP="00D65525">
      <w:pPr>
        <w:spacing w:line="360" w:lineRule="auto"/>
        <w:jc w:val="both"/>
        <w:rPr>
          <w:rFonts w:ascii="Times New Roman" w:hAnsi="Times New Roman" w:cs="Times New Roman"/>
          <w:b/>
          <w:sz w:val="24"/>
          <w:szCs w:val="24"/>
        </w:rPr>
      </w:pPr>
    </w:p>
    <w:p w:rsidR="00EA27C5" w:rsidRPr="00D65525" w:rsidRDefault="00EA27C5" w:rsidP="00D65525">
      <w:pPr>
        <w:spacing w:line="360" w:lineRule="auto"/>
        <w:jc w:val="both"/>
        <w:rPr>
          <w:rFonts w:ascii="Times New Roman" w:hAnsi="Times New Roman" w:cs="Times New Roman"/>
          <w:b/>
          <w:sz w:val="24"/>
          <w:szCs w:val="24"/>
        </w:rPr>
      </w:pPr>
    </w:p>
    <w:p w:rsidR="00EA27C5" w:rsidRPr="00D65525" w:rsidRDefault="00EA27C5" w:rsidP="00D65525">
      <w:pPr>
        <w:spacing w:line="360" w:lineRule="auto"/>
        <w:jc w:val="both"/>
        <w:rPr>
          <w:rFonts w:ascii="Times New Roman" w:hAnsi="Times New Roman" w:cs="Times New Roman"/>
          <w:b/>
          <w:sz w:val="24"/>
          <w:szCs w:val="24"/>
        </w:rPr>
      </w:pPr>
    </w:p>
    <w:sdt>
      <w:sdtPr>
        <w:id w:val="-1740694562"/>
        <w:docPartObj>
          <w:docPartGallery w:val="Table of Contents"/>
          <w:docPartUnique/>
        </w:docPartObj>
      </w:sdtPr>
      <w:sdtEndPr>
        <w:rPr>
          <w:rFonts w:ascii="Times New Roman" w:eastAsia="Calibri" w:hAnsi="Times New Roman" w:cs="Times New Roman"/>
          <w:noProof/>
          <w:color w:val="auto"/>
          <w:sz w:val="24"/>
          <w:szCs w:val="24"/>
          <w:lang w:val="en-GB" w:eastAsia="en-GB"/>
        </w:rPr>
      </w:sdtEndPr>
      <w:sdtContent>
        <w:p w:rsidR="00B26CD5" w:rsidRPr="00B26CD5" w:rsidRDefault="00B26CD5" w:rsidP="00B26CD5">
          <w:pPr>
            <w:pStyle w:val="TOCHeading"/>
            <w:jc w:val="center"/>
            <w:rPr>
              <w:rFonts w:ascii="Times New Roman" w:hAnsi="Times New Roman" w:cs="Times New Roman"/>
              <w:color w:val="auto"/>
              <w:sz w:val="24"/>
              <w:szCs w:val="24"/>
            </w:rPr>
          </w:pPr>
          <w:r w:rsidRPr="00B26CD5">
            <w:rPr>
              <w:rFonts w:ascii="Times New Roman" w:hAnsi="Times New Roman" w:cs="Times New Roman"/>
              <w:color w:val="auto"/>
              <w:sz w:val="24"/>
              <w:szCs w:val="24"/>
            </w:rPr>
            <w:t>Table of Contents</w:t>
          </w:r>
        </w:p>
        <w:p w:rsidR="00B26CD5" w:rsidRPr="00B26CD5" w:rsidRDefault="00B26CD5">
          <w:pPr>
            <w:pStyle w:val="TOC1"/>
            <w:tabs>
              <w:tab w:val="right" w:leader="dot" w:pos="9350"/>
            </w:tabs>
            <w:rPr>
              <w:rFonts w:ascii="Times New Roman" w:hAnsi="Times New Roman" w:cs="Times New Roman"/>
              <w:noProof/>
              <w:sz w:val="24"/>
              <w:szCs w:val="24"/>
            </w:rPr>
          </w:pPr>
          <w:r w:rsidRPr="00B26CD5">
            <w:rPr>
              <w:rFonts w:ascii="Times New Roman" w:hAnsi="Times New Roman" w:cs="Times New Roman"/>
              <w:sz w:val="24"/>
              <w:szCs w:val="24"/>
            </w:rPr>
            <w:fldChar w:fldCharType="begin"/>
          </w:r>
          <w:r w:rsidRPr="00B26CD5">
            <w:rPr>
              <w:rFonts w:ascii="Times New Roman" w:hAnsi="Times New Roman" w:cs="Times New Roman"/>
              <w:sz w:val="24"/>
              <w:szCs w:val="24"/>
            </w:rPr>
            <w:instrText xml:space="preserve"> TOC \o "1-3" \h \z \u </w:instrText>
          </w:r>
          <w:r w:rsidRPr="00B26CD5">
            <w:rPr>
              <w:rFonts w:ascii="Times New Roman" w:hAnsi="Times New Roman" w:cs="Times New Roman"/>
              <w:sz w:val="24"/>
              <w:szCs w:val="24"/>
            </w:rPr>
            <w:fldChar w:fldCharType="separate"/>
          </w:r>
          <w:hyperlink w:anchor="_Toc182871791" w:history="1">
            <w:r w:rsidRPr="00B26CD5">
              <w:rPr>
                <w:rStyle w:val="Hyperlink"/>
                <w:rFonts w:ascii="Times New Roman" w:hAnsi="Times New Roman" w:cs="Times New Roman"/>
                <w:noProof/>
                <w:color w:val="auto"/>
                <w:sz w:val="24"/>
                <w:szCs w:val="24"/>
              </w:rPr>
              <w:t>Introduction</w:t>
            </w:r>
            <w:r w:rsidRPr="00B26CD5">
              <w:rPr>
                <w:rFonts w:ascii="Times New Roman" w:hAnsi="Times New Roman" w:cs="Times New Roman"/>
                <w:noProof/>
                <w:webHidden/>
                <w:sz w:val="24"/>
                <w:szCs w:val="24"/>
              </w:rPr>
              <w:tab/>
            </w:r>
            <w:r w:rsidRPr="00B26CD5">
              <w:rPr>
                <w:rFonts w:ascii="Times New Roman" w:hAnsi="Times New Roman" w:cs="Times New Roman"/>
                <w:noProof/>
                <w:webHidden/>
                <w:sz w:val="24"/>
                <w:szCs w:val="24"/>
              </w:rPr>
              <w:fldChar w:fldCharType="begin"/>
            </w:r>
            <w:r w:rsidRPr="00B26CD5">
              <w:rPr>
                <w:rFonts w:ascii="Times New Roman" w:hAnsi="Times New Roman" w:cs="Times New Roman"/>
                <w:noProof/>
                <w:webHidden/>
                <w:sz w:val="24"/>
                <w:szCs w:val="24"/>
              </w:rPr>
              <w:instrText xml:space="preserve"> PAGEREF _Toc182871791 \h </w:instrText>
            </w:r>
            <w:r w:rsidRPr="00B26CD5">
              <w:rPr>
                <w:rFonts w:ascii="Times New Roman" w:hAnsi="Times New Roman" w:cs="Times New Roman"/>
                <w:noProof/>
                <w:webHidden/>
                <w:sz w:val="24"/>
                <w:szCs w:val="24"/>
              </w:rPr>
            </w:r>
            <w:r w:rsidRPr="00B26CD5">
              <w:rPr>
                <w:rFonts w:ascii="Times New Roman" w:hAnsi="Times New Roman" w:cs="Times New Roman"/>
                <w:noProof/>
                <w:webHidden/>
                <w:sz w:val="24"/>
                <w:szCs w:val="24"/>
              </w:rPr>
              <w:fldChar w:fldCharType="separate"/>
            </w:r>
            <w:r w:rsidRPr="00B26CD5">
              <w:rPr>
                <w:rFonts w:ascii="Times New Roman" w:hAnsi="Times New Roman" w:cs="Times New Roman"/>
                <w:noProof/>
                <w:webHidden/>
                <w:sz w:val="24"/>
                <w:szCs w:val="24"/>
              </w:rPr>
              <w:t>4</w:t>
            </w:r>
            <w:r w:rsidRPr="00B26CD5">
              <w:rPr>
                <w:rFonts w:ascii="Times New Roman" w:hAnsi="Times New Roman" w:cs="Times New Roman"/>
                <w:noProof/>
                <w:webHidden/>
                <w:sz w:val="24"/>
                <w:szCs w:val="24"/>
              </w:rPr>
              <w:fldChar w:fldCharType="end"/>
            </w:r>
          </w:hyperlink>
        </w:p>
        <w:p w:rsidR="00B26CD5" w:rsidRPr="00B26CD5" w:rsidRDefault="00B26CD5">
          <w:pPr>
            <w:pStyle w:val="TOC1"/>
            <w:tabs>
              <w:tab w:val="right" w:leader="dot" w:pos="9350"/>
            </w:tabs>
            <w:rPr>
              <w:rFonts w:ascii="Times New Roman" w:hAnsi="Times New Roman" w:cs="Times New Roman"/>
              <w:noProof/>
              <w:sz w:val="24"/>
              <w:szCs w:val="24"/>
            </w:rPr>
          </w:pPr>
          <w:hyperlink w:anchor="_Toc182871792" w:history="1">
            <w:r w:rsidRPr="00B26CD5">
              <w:rPr>
                <w:rStyle w:val="Hyperlink"/>
                <w:rFonts w:ascii="Times New Roman" w:hAnsi="Times New Roman" w:cs="Times New Roman"/>
                <w:noProof/>
                <w:color w:val="auto"/>
                <w:sz w:val="24"/>
                <w:szCs w:val="24"/>
              </w:rPr>
              <w:t>Method</w:t>
            </w:r>
            <w:r w:rsidRPr="00B26CD5">
              <w:rPr>
                <w:rFonts w:ascii="Times New Roman" w:hAnsi="Times New Roman" w:cs="Times New Roman"/>
                <w:noProof/>
                <w:webHidden/>
                <w:sz w:val="24"/>
                <w:szCs w:val="24"/>
              </w:rPr>
              <w:tab/>
            </w:r>
            <w:r w:rsidRPr="00B26CD5">
              <w:rPr>
                <w:rFonts w:ascii="Times New Roman" w:hAnsi="Times New Roman" w:cs="Times New Roman"/>
                <w:noProof/>
                <w:webHidden/>
                <w:sz w:val="24"/>
                <w:szCs w:val="24"/>
              </w:rPr>
              <w:fldChar w:fldCharType="begin"/>
            </w:r>
            <w:r w:rsidRPr="00B26CD5">
              <w:rPr>
                <w:rFonts w:ascii="Times New Roman" w:hAnsi="Times New Roman" w:cs="Times New Roman"/>
                <w:noProof/>
                <w:webHidden/>
                <w:sz w:val="24"/>
                <w:szCs w:val="24"/>
              </w:rPr>
              <w:instrText xml:space="preserve"> PAGEREF _Toc182871792 \h </w:instrText>
            </w:r>
            <w:r w:rsidRPr="00B26CD5">
              <w:rPr>
                <w:rFonts w:ascii="Times New Roman" w:hAnsi="Times New Roman" w:cs="Times New Roman"/>
                <w:noProof/>
                <w:webHidden/>
                <w:sz w:val="24"/>
                <w:szCs w:val="24"/>
              </w:rPr>
            </w:r>
            <w:r w:rsidRPr="00B26CD5">
              <w:rPr>
                <w:rFonts w:ascii="Times New Roman" w:hAnsi="Times New Roman" w:cs="Times New Roman"/>
                <w:noProof/>
                <w:webHidden/>
                <w:sz w:val="24"/>
                <w:szCs w:val="24"/>
              </w:rPr>
              <w:fldChar w:fldCharType="separate"/>
            </w:r>
            <w:r w:rsidRPr="00B26CD5">
              <w:rPr>
                <w:rFonts w:ascii="Times New Roman" w:hAnsi="Times New Roman" w:cs="Times New Roman"/>
                <w:noProof/>
                <w:webHidden/>
                <w:sz w:val="24"/>
                <w:szCs w:val="24"/>
              </w:rPr>
              <w:t>5</w:t>
            </w:r>
            <w:r w:rsidRPr="00B26CD5">
              <w:rPr>
                <w:rFonts w:ascii="Times New Roman" w:hAnsi="Times New Roman" w:cs="Times New Roman"/>
                <w:noProof/>
                <w:webHidden/>
                <w:sz w:val="24"/>
                <w:szCs w:val="24"/>
              </w:rPr>
              <w:fldChar w:fldCharType="end"/>
            </w:r>
          </w:hyperlink>
        </w:p>
        <w:p w:rsidR="00B26CD5" w:rsidRPr="00B26CD5" w:rsidRDefault="00B26CD5">
          <w:pPr>
            <w:pStyle w:val="TOC2"/>
            <w:tabs>
              <w:tab w:val="right" w:leader="dot" w:pos="9350"/>
            </w:tabs>
            <w:rPr>
              <w:rFonts w:ascii="Times New Roman" w:hAnsi="Times New Roman" w:cs="Times New Roman"/>
              <w:noProof/>
              <w:sz w:val="24"/>
              <w:szCs w:val="24"/>
            </w:rPr>
          </w:pPr>
          <w:hyperlink w:anchor="_Toc182871793" w:history="1">
            <w:r w:rsidRPr="00B26CD5">
              <w:rPr>
                <w:rStyle w:val="Hyperlink"/>
                <w:rFonts w:ascii="Times New Roman" w:hAnsi="Times New Roman" w:cs="Times New Roman"/>
                <w:noProof/>
                <w:color w:val="auto"/>
                <w:sz w:val="24"/>
                <w:szCs w:val="24"/>
              </w:rPr>
              <w:t>Design</w:t>
            </w:r>
            <w:r w:rsidRPr="00B26CD5">
              <w:rPr>
                <w:rFonts w:ascii="Times New Roman" w:hAnsi="Times New Roman" w:cs="Times New Roman"/>
                <w:noProof/>
                <w:webHidden/>
                <w:sz w:val="24"/>
                <w:szCs w:val="24"/>
              </w:rPr>
              <w:tab/>
            </w:r>
            <w:r w:rsidRPr="00B26CD5">
              <w:rPr>
                <w:rFonts w:ascii="Times New Roman" w:hAnsi="Times New Roman" w:cs="Times New Roman"/>
                <w:noProof/>
                <w:webHidden/>
                <w:sz w:val="24"/>
                <w:szCs w:val="24"/>
              </w:rPr>
              <w:fldChar w:fldCharType="begin"/>
            </w:r>
            <w:r w:rsidRPr="00B26CD5">
              <w:rPr>
                <w:rFonts w:ascii="Times New Roman" w:hAnsi="Times New Roman" w:cs="Times New Roman"/>
                <w:noProof/>
                <w:webHidden/>
                <w:sz w:val="24"/>
                <w:szCs w:val="24"/>
              </w:rPr>
              <w:instrText xml:space="preserve"> PAGEREF _Toc182871793 \h </w:instrText>
            </w:r>
            <w:r w:rsidRPr="00B26CD5">
              <w:rPr>
                <w:rFonts w:ascii="Times New Roman" w:hAnsi="Times New Roman" w:cs="Times New Roman"/>
                <w:noProof/>
                <w:webHidden/>
                <w:sz w:val="24"/>
                <w:szCs w:val="24"/>
              </w:rPr>
            </w:r>
            <w:r w:rsidRPr="00B26CD5">
              <w:rPr>
                <w:rFonts w:ascii="Times New Roman" w:hAnsi="Times New Roman" w:cs="Times New Roman"/>
                <w:noProof/>
                <w:webHidden/>
                <w:sz w:val="24"/>
                <w:szCs w:val="24"/>
              </w:rPr>
              <w:fldChar w:fldCharType="separate"/>
            </w:r>
            <w:r w:rsidRPr="00B26CD5">
              <w:rPr>
                <w:rFonts w:ascii="Times New Roman" w:hAnsi="Times New Roman" w:cs="Times New Roman"/>
                <w:noProof/>
                <w:webHidden/>
                <w:sz w:val="24"/>
                <w:szCs w:val="24"/>
              </w:rPr>
              <w:t>5</w:t>
            </w:r>
            <w:r w:rsidRPr="00B26CD5">
              <w:rPr>
                <w:rFonts w:ascii="Times New Roman" w:hAnsi="Times New Roman" w:cs="Times New Roman"/>
                <w:noProof/>
                <w:webHidden/>
                <w:sz w:val="24"/>
                <w:szCs w:val="24"/>
              </w:rPr>
              <w:fldChar w:fldCharType="end"/>
            </w:r>
          </w:hyperlink>
        </w:p>
        <w:p w:rsidR="00B26CD5" w:rsidRPr="00B26CD5" w:rsidRDefault="00B26CD5">
          <w:pPr>
            <w:pStyle w:val="TOC2"/>
            <w:tabs>
              <w:tab w:val="right" w:leader="dot" w:pos="9350"/>
            </w:tabs>
            <w:rPr>
              <w:rFonts w:ascii="Times New Roman" w:hAnsi="Times New Roman" w:cs="Times New Roman"/>
              <w:noProof/>
              <w:sz w:val="24"/>
              <w:szCs w:val="24"/>
            </w:rPr>
          </w:pPr>
          <w:hyperlink w:anchor="_Toc182871794" w:history="1">
            <w:r w:rsidRPr="00B26CD5">
              <w:rPr>
                <w:rStyle w:val="Hyperlink"/>
                <w:rFonts w:ascii="Times New Roman" w:hAnsi="Times New Roman" w:cs="Times New Roman"/>
                <w:noProof/>
                <w:color w:val="auto"/>
                <w:sz w:val="24"/>
                <w:szCs w:val="24"/>
              </w:rPr>
              <w:t>Participants</w:t>
            </w:r>
            <w:r w:rsidRPr="00B26CD5">
              <w:rPr>
                <w:rFonts w:ascii="Times New Roman" w:hAnsi="Times New Roman" w:cs="Times New Roman"/>
                <w:noProof/>
                <w:webHidden/>
                <w:sz w:val="24"/>
                <w:szCs w:val="24"/>
              </w:rPr>
              <w:tab/>
            </w:r>
            <w:r w:rsidRPr="00B26CD5">
              <w:rPr>
                <w:rFonts w:ascii="Times New Roman" w:hAnsi="Times New Roman" w:cs="Times New Roman"/>
                <w:noProof/>
                <w:webHidden/>
                <w:sz w:val="24"/>
                <w:szCs w:val="24"/>
              </w:rPr>
              <w:fldChar w:fldCharType="begin"/>
            </w:r>
            <w:r w:rsidRPr="00B26CD5">
              <w:rPr>
                <w:rFonts w:ascii="Times New Roman" w:hAnsi="Times New Roman" w:cs="Times New Roman"/>
                <w:noProof/>
                <w:webHidden/>
                <w:sz w:val="24"/>
                <w:szCs w:val="24"/>
              </w:rPr>
              <w:instrText xml:space="preserve"> PAGEREF _Toc182871794 \h </w:instrText>
            </w:r>
            <w:r w:rsidRPr="00B26CD5">
              <w:rPr>
                <w:rFonts w:ascii="Times New Roman" w:hAnsi="Times New Roman" w:cs="Times New Roman"/>
                <w:noProof/>
                <w:webHidden/>
                <w:sz w:val="24"/>
                <w:szCs w:val="24"/>
              </w:rPr>
            </w:r>
            <w:r w:rsidRPr="00B26CD5">
              <w:rPr>
                <w:rFonts w:ascii="Times New Roman" w:hAnsi="Times New Roman" w:cs="Times New Roman"/>
                <w:noProof/>
                <w:webHidden/>
                <w:sz w:val="24"/>
                <w:szCs w:val="24"/>
              </w:rPr>
              <w:fldChar w:fldCharType="separate"/>
            </w:r>
            <w:r w:rsidRPr="00B26CD5">
              <w:rPr>
                <w:rFonts w:ascii="Times New Roman" w:hAnsi="Times New Roman" w:cs="Times New Roman"/>
                <w:noProof/>
                <w:webHidden/>
                <w:sz w:val="24"/>
                <w:szCs w:val="24"/>
              </w:rPr>
              <w:t>5</w:t>
            </w:r>
            <w:r w:rsidRPr="00B26CD5">
              <w:rPr>
                <w:rFonts w:ascii="Times New Roman" w:hAnsi="Times New Roman" w:cs="Times New Roman"/>
                <w:noProof/>
                <w:webHidden/>
                <w:sz w:val="24"/>
                <w:szCs w:val="24"/>
              </w:rPr>
              <w:fldChar w:fldCharType="end"/>
            </w:r>
          </w:hyperlink>
        </w:p>
        <w:p w:rsidR="00B26CD5" w:rsidRPr="00B26CD5" w:rsidRDefault="00B26CD5">
          <w:pPr>
            <w:pStyle w:val="TOC2"/>
            <w:tabs>
              <w:tab w:val="right" w:leader="dot" w:pos="9350"/>
            </w:tabs>
            <w:rPr>
              <w:rFonts w:ascii="Times New Roman" w:hAnsi="Times New Roman" w:cs="Times New Roman"/>
              <w:noProof/>
              <w:sz w:val="24"/>
              <w:szCs w:val="24"/>
            </w:rPr>
          </w:pPr>
          <w:hyperlink w:anchor="_Toc182871795" w:history="1">
            <w:r w:rsidRPr="00B26CD5">
              <w:rPr>
                <w:rStyle w:val="Hyperlink"/>
                <w:rFonts w:ascii="Times New Roman" w:hAnsi="Times New Roman" w:cs="Times New Roman"/>
                <w:noProof/>
                <w:color w:val="auto"/>
                <w:sz w:val="24"/>
                <w:szCs w:val="24"/>
              </w:rPr>
              <w:t>The study utilized:</w:t>
            </w:r>
            <w:r w:rsidRPr="00B26CD5">
              <w:rPr>
                <w:rFonts w:ascii="Times New Roman" w:hAnsi="Times New Roman" w:cs="Times New Roman"/>
                <w:noProof/>
                <w:webHidden/>
                <w:sz w:val="24"/>
                <w:szCs w:val="24"/>
              </w:rPr>
              <w:tab/>
            </w:r>
            <w:r w:rsidRPr="00B26CD5">
              <w:rPr>
                <w:rFonts w:ascii="Times New Roman" w:hAnsi="Times New Roman" w:cs="Times New Roman"/>
                <w:noProof/>
                <w:webHidden/>
                <w:sz w:val="24"/>
                <w:szCs w:val="24"/>
              </w:rPr>
              <w:fldChar w:fldCharType="begin"/>
            </w:r>
            <w:r w:rsidRPr="00B26CD5">
              <w:rPr>
                <w:rFonts w:ascii="Times New Roman" w:hAnsi="Times New Roman" w:cs="Times New Roman"/>
                <w:noProof/>
                <w:webHidden/>
                <w:sz w:val="24"/>
                <w:szCs w:val="24"/>
              </w:rPr>
              <w:instrText xml:space="preserve"> PAGEREF _Toc182871795 \h </w:instrText>
            </w:r>
            <w:r w:rsidRPr="00B26CD5">
              <w:rPr>
                <w:rFonts w:ascii="Times New Roman" w:hAnsi="Times New Roman" w:cs="Times New Roman"/>
                <w:noProof/>
                <w:webHidden/>
                <w:sz w:val="24"/>
                <w:szCs w:val="24"/>
              </w:rPr>
            </w:r>
            <w:r w:rsidRPr="00B26CD5">
              <w:rPr>
                <w:rFonts w:ascii="Times New Roman" w:hAnsi="Times New Roman" w:cs="Times New Roman"/>
                <w:noProof/>
                <w:webHidden/>
                <w:sz w:val="24"/>
                <w:szCs w:val="24"/>
              </w:rPr>
              <w:fldChar w:fldCharType="separate"/>
            </w:r>
            <w:r w:rsidRPr="00B26CD5">
              <w:rPr>
                <w:rFonts w:ascii="Times New Roman" w:hAnsi="Times New Roman" w:cs="Times New Roman"/>
                <w:noProof/>
                <w:webHidden/>
                <w:sz w:val="24"/>
                <w:szCs w:val="24"/>
              </w:rPr>
              <w:t>5</w:t>
            </w:r>
            <w:r w:rsidRPr="00B26CD5">
              <w:rPr>
                <w:rFonts w:ascii="Times New Roman" w:hAnsi="Times New Roman" w:cs="Times New Roman"/>
                <w:noProof/>
                <w:webHidden/>
                <w:sz w:val="24"/>
                <w:szCs w:val="24"/>
              </w:rPr>
              <w:fldChar w:fldCharType="end"/>
            </w:r>
          </w:hyperlink>
        </w:p>
        <w:p w:rsidR="00B26CD5" w:rsidRPr="00B26CD5" w:rsidRDefault="00B26CD5">
          <w:pPr>
            <w:pStyle w:val="TOC2"/>
            <w:tabs>
              <w:tab w:val="right" w:leader="dot" w:pos="9350"/>
            </w:tabs>
            <w:rPr>
              <w:rFonts w:ascii="Times New Roman" w:hAnsi="Times New Roman" w:cs="Times New Roman"/>
              <w:noProof/>
              <w:sz w:val="24"/>
              <w:szCs w:val="24"/>
            </w:rPr>
          </w:pPr>
          <w:hyperlink w:anchor="_Toc182871796" w:history="1">
            <w:r w:rsidRPr="00B26CD5">
              <w:rPr>
                <w:rStyle w:val="Hyperlink"/>
                <w:rFonts w:ascii="Times New Roman" w:hAnsi="Times New Roman" w:cs="Times New Roman"/>
                <w:noProof/>
                <w:color w:val="auto"/>
                <w:sz w:val="24"/>
                <w:szCs w:val="24"/>
              </w:rPr>
              <w:t>Procedure</w:t>
            </w:r>
            <w:r w:rsidRPr="00B26CD5">
              <w:rPr>
                <w:rFonts w:ascii="Times New Roman" w:hAnsi="Times New Roman" w:cs="Times New Roman"/>
                <w:noProof/>
                <w:webHidden/>
                <w:sz w:val="24"/>
                <w:szCs w:val="24"/>
              </w:rPr>
              <w:tab/>
            </w:r>
            <w:r w:rsidRPr="00B26CD5">
              <w:rPr>
                <w:rFonts w:ascii="Times New Roman" w:hAnsi="Times New Roman" w:cs="Times New Roman"/>
                <w:noProof/>
                <w:webHidden/>
                <w:sz w:val="24"/>
                <w:szCs w:val="24"/>
              </w:rPr>
              <w:fldChar w:fldCharType="begin"/>
            </w:r>
            <w:r w:rsidRPr="00B26CD5">
              <w:rPr>
                <w:rFonts w:ascii="Times New Roman" w:hAnsi="Times New Roman" w:cs="Times New Roman"/>
                <w:noProof/>
                <w:webHidden/>
                <w:sz w:val="24"/>
                <w:szCs w:val="24"/>
              </w:rPr>
              <w:instrText xml:space="preserve"> PAGEREF _Toc182871796 \h </w:instrText>
            </w:r>
            <w:r w:rsidRPr="00B26CD5">
              <w:rPr>
                <w:rFonts w:ascii="Times New Roman" w:hAnsi="Times New Roman" w:cs="Times New Roman"/>
                <w:noProof/>
                <w:webHidden/>
                <w:sz w:val="24"/>
                <w:szCs w:val="24"/>
              </w:rPr>
            </w:r>
            <w:r w:rsidRPr="00B26CD5">
              <w:rPr>
                <w:rFonts w:ascii="Times New Roman" w:hAnsi="Times New Roman" w:cs="Times New Roman"/>
                <w:noProof/>
                <w:webHidden/>
                <w:sz w:val="24"/>
                <w:szCs w:val="24"/>
              </w:rPr>
              <w:fldChar w:fldCharType="separate"/>
            </w:r>
            <w:r w:rsidRPr="00B26CD5">
              <w:rPr>
                <w:rFonts w:ascii="Times New Roman" w:hAnsi="Times New Roman" w:cs="Times New Roman"/>
                <w:noProof/>
                <w:webHidden/>
                <w:sz w:val="24"/>
                <w:szCs w:val="24"/>
              </w:rPr>
              <w:t>5</w:t>
            </w:r>
            <w:r w:rsidRPr="00B26CD5">
              <w:rPr>
                <w:rFonts w:ascii="Times New Roman" w:hAnsi="Times New Roman" w:cs="Times New Roman"/>
                <w:noProof/>
                <w:webHidden/>
                <w:sz w:val="24"/>
                <w:szCs w:val="24"/>
              </w:rPr>
              <w:fldChar w:fldCharType="end"/>
            </w:r>
          </w:hyperlink>
        </w:p>
        <w:p w:rsidR="00B26CD5" w:rsidRPr="00B26CD5" w:rsidRDefault="00B26CD5">
          <w:pPr>
            <w:pStyle w:val="TOC1"/>
            <w:tabs>
              <w:tab w:val="right" w:leader="dot" w:pos="9350"/>
            </w:tabs>
            <w:rPr>
              <w:rFonts w:ascii="Times New Roman" w:hAnsi="Times New Roman" w:cs="Times New Roman"/>
              <w:noProof/>
              <w:sz w:val="24"/>
              <w:szCs w:val="24"/>
            </w:rPr>
          </w:pPr>
          <w:hyperlink w:anchor="_Toc182871797" w:history="1">
            <w:r w:rsidRPr="00B26CD5">
              <w:rPr>
                <w:rStyle w:val="Hyperlink"/>
                <w:rFonts w:ascii="Times New Roman" w:hAnsi="Times New Roman" w:cs="Times New Roman"/>
                <w:noProof/>
                <w:color w:val="auto"/>
                <w:sz w:val="24"/>
                <w:szCs w:val="24"/>
              </w:rPr>
              <w:t>Results</w:t>
            </w:r>
            <w:r w:rsidRPr="00B26CD5">
              <w:rPr>
                <w:rFonts w:ascii="Times New Roman" w:hAnsi="Times New Roman" w:cs="Times New Roman"/>
                <w:noProof/>
                <w:webHidden/>
                <w:sz w:val="24"/>
                <w:szCs w:val="24"/>
              </w:rPr>
              <w:tab/>
            </w:r>
            <w:r w:rsidRPr="00B26CD5">
              <w:rPr>
                <w:rFonts w:ascii="Times New Roman" w:hAnsi="Times New Roman" w:cs="Times New Roman"/>
                <w:noProof/>
                <w:webHidden/>
                <w:sz w:val="24"/>
                <w:szCs w:val="24"/>
              </w:rPr>
              <w:fldChar w:fldCharType="begin"/>
            </w:r>
            <w:r w:rsidRPr="00B26CD5">
              <w:rPr>
                <w:rFonts w:ascii="Times New Roman" w:hAnsi="Times New Roman" w:cs="Times New Roman"/>
                <w:noProof/>
                <w:webHidden/>
                <w:sz w:val="24"/>
                <w:szCs w:val="24"/>
              </w:rPr>
              <w:instrText xml:space="preserve"> PAGEREF _Toc182871797 \h </w:instrText>
            </w:r>
            <w:r w:rsidRPr="00B26CD5">
              <w:rPr>
                <w:rFonts w:ascii="Times New Roman" w:hAnsi="Times New Roman" w:cs="Times New Roman"/>
                <w:noProof/>
                <w:webHidden/>
                <w:sz w:val="24"/>
                <w:szCs w:val="24"/>
              </w:rPr>
            </w:r>
            <w:r w:rsidRPr="00B26CD5">
              <w:rPr>
                <w:rFonts w:ascii="Times New Roman" w:hAnsi="Times New Roman" w:cs="Times New Roman"/>
                <w:noProof/>
                <w:webHidden/>
                <w:sz w:val="24"/>
                <w:szCs w:val="24"/>
              </w:rPr>
              <w:fldChar w:fldCharType="separate"/>
            </w:r>
            <w:r w:rsidRPr="00B26CD5">
              <w:rPr>
                <w:rFonts w:ascii="Times New Roman" w:hAnsi="Times New Roman" w:cs="Times New Roman"/>
                <w:noProof/>
                <w:webHidden/>
                <w:sz w:val="24"/>
                <w:szCs w:val="24"/>
              </w:rPr>
              <w:t>6</w:t>
            </w:r>
            <w:r w:rsidRPr="00B26CD5">
              <w:rPr>
                <w:rFonts w:ascii="Times New Roman" w:hAnsi="Times New Roman" w:cs="Times New Roman"/>
                <w:noProof/>
                <w:webHidden/>
                <w:sz w:val="24"/>
                <w:szCs w:val="24"/>
              </w:rPr>
              <w:fldChar w:fldCharType="end"/>
            </w:r>
          </w:hyperlink>
        </w:p>
        <w:p w:rsidR="00B26CD5" w:rsidRPr="00B26CD5" w:rsidRDefault="00B26CD5">
          <w:pPr>
            <w:pStyle w:val="TOC2"/>
            <w:tabs>
              <w:tab w:val="right" w:leader="dot" w:pos="9350"/>
            </w:tabs>
            <w:rPr>
              <w:rFonts w:ascii="Times New Roman" w:hAnsi="Times New Roman" w:cs="Times New Roman"/>
              <w:noProof/>
              <w:sz w:val="24"/>
              <w:szCs w:val="24"/>
            </w:rPr>
          </w:pPr>
          <w:hyperlink w:anchor="_Toc182871798" w:history="1">
            <w:r w:rsidRPr="00B26CD5">
              <w:rPr>
                <w:rStyle w:val="Hyperlink"/>
                <w:rFonts w:ascii="Times New Roman" w:hAnsi="Times New Roman" w:cs="Times New Roman"/>
                <w:noProof/>
                <w:color w:val="auto"/>
                <w:sz w:val="24"/>
                <w:szCs w:val="24"/>
              </w:rPr>
              <w:t>Demographic Analysis</w:t>
            </w:r>
            <w:r w:rsidRPr="00B26CD5">
              <w:rPr>
                <w:rFonts w:ascii="Times New Roman" w:hAnsi="Times New Roman" w:cs="Times New Roman"/>
                <w:noProof/>
                <w:webHidden/>
                <w:sz w:val="24"/>
                <w:szCs w:val="24"/>
              </w:rPr>
              <w:tab/>
            </w:r>
            <w:r w:rsidRPr="00B26CD5">
              <w:rPr>
                <w:rFonts w:ascii="Times New Roman" w:hAnsi="Times New Roman" w:cs="Times New Roman"/>
                <w:noProof/>
                <w:webHidden/>
                <w:sz w:val="24"/>
                <w:szCs w:val="24"/>
              </w:rPr>
              <w:fldChar w:fldCharType="begin"/>
            </w:r>
            <w:r w:rsidRPr="00B26CD5">
              <w:rPr>
                <w:rFonts w:ascii="Times New Roman" w:hAnsi="Times New Roman" w:cs="Times New Roman"/>
                <w:noProof/>
                <w:webHidden/>
                <w:sz w:val="24"/>
                <w:szCs w:val="24"/>
              </w:rPr>
              <w:instrText xml:space="preserve"> PAGEREF _Toc182871798 \h </w:instrText>
            </w:r>
            <w:r w:rsidRPr="00B26CD5">
              <w:rPr>
                <w:rFonts w:ascii="Times New Roman" w:hAnsi="Times New Roman" w:cs="Times New Roman"/>
                <w:noProof/>
                <w:webHidden/>
                <w:sz w:val="24"/>
                <w:szCs w:val="24"/>
              </w:rPr>
            </w:r>
            <w:r w:rsidRPr="00B26CD5">
              <w:rPr>
                <w:rFonts w:ascii="Times New Roman" w:hAnsi="Times New Roman" w:cs="Times New Roman"/>
                <w:noProof/>
                <w:webHidden/>
                <w:sz w:val="24"/>
                <w:szCs w:val="24"/>
              </w:rPr>
              <w:fldChar w:fldCharType="separate"/>
            </w:r>
            <w:r w:rsidRPr="00B26CD5">
              <w:rPr>
                <w:rFonts w:ascii="Times New Roman" w:hAnsi="Times New Roman" w:cs="Times New Roman"/>
                <w:noProof/>
                <w:webHidden/>
                <w:sz w:val="24"/>
                <w:szCs w:val="24"/>
              </w:rPr>
              <w:t>6</w:t>
            </w:r>
            <w:r w:rsidRPr="00B26CD5">
              <w:rPr>
                <w:rFonts w:ascii="Times New Roman" w:hAnsi="Times New Roman" w:cs="Times New Roman"/>
                <w:noProof/>
                <w:webHidden/>
                <w:sz w:val="24"/>
                <w:szCs w:val="24"/>
              </w:rPr>
              <w:fldChar w:fldCharType="end"/>
            </w:r>
          </w:hyperlink>
        </w:p>
        <w:p w:rsidR="00B26CD5" w:rsidRPr="00B26CD5" w:rsidRDefault="00B26CD5">
          <w:pPr>
            <w:pStyle w:val="TOC2"/>
            <w:tabs>
              <w:tab w:val="right" w:leader="dot" w:pos="9350"/>
            </w:tabs>
            <w:rPr>
              <w:rFonts w:ascii="Times New Roman" w:hAnsi="Times New Roman" w:cs="Times New Roman"/>
              <w:noProof/>
              <w:sz w:val="24"/>
              <w:szCs w:val="24"/>
            </w:rPr>
          </w:pPr>
          <w:hyperlink w:anchor="_Toc182871799" w:history="1">
            <w:r w:rsidRPr="00B26CD5">
              <w:rPr>
                <w:rStyle w:val="Hyperlink"/>
                <w:rFonts w:ascii="Times New Roman" w:hAnsi="Times New Roman" w:cs="Times New Roman"/>
                <w:noProof/>
                <w:color w:val="auto"/>
                <w:sz w:val="24"/>
                <w:szCs w:val="24"/>
              </w:rPr>
              <w:t>Table 1 Gender</w:t>
            </w:r>
            <w:r w:rsidRPr="00B26CD5">
              <w:rPr>
                <w:rFonts w:ascii="Times New Roman" w:hAnsi="Times New Roman" w:cs="Times New Roman"/>
                <w:noProof/>
                <w:webHidden/>
                <w:sz w:val="24"/>
                <w:szCs w:val="24"/>
              </w:rPr>
              <w:tab/>
            </w:r>
            <w:r w:rsidRPr="00B26CD5">
              <w:rPr>
                <w:rFonts w:ascii="Times New Roman" w:hAnsi="Times New Roman" w:cs="Times New Roman"/>
                <w:noProof/>
                <w:webHidden/>
                <w:sz w:val="24"/>
                <w:szCs w:val="24"/>
              </w:rPr>
              <w:fldChar w:fldCharType="begin"/>
            </w:r>
            <w:r w:rsidRPr="00B26CD5">
              <w:rPr>
                <w:rFonts w:ascii="Times New Roman" w:hAnsi="Times New Roman" w:cs="Times New Roman"/>
                <w:noProof/>
                <w:webHidden/>
                <w:sz w:val="24"/>
                <w:szCs w:val="24"/>
              </w:rPr>
              <w:instrText xml:space="preserve"> PAGEREF _Toc182871799 \h </w:instrText>
            </w:r>
            <w:r w:rsidRPr="00B26CD5">
              <w:rPr>
                <w:rFonts w:ascii="Times New Roman" w:hAnsi="Times New Roman" w:cs="Times New Roman"/>
                <w:noProof/>
                <w:webHidden/>
                <w:sz w:val="24"/>
                <w:szCs w:val="24"/>
              </w:rPr>
            </w:r>
            <w:r w:rsidRPr="00B26CD5">
              <w:rPr>
                <w:rFonts w:ascii="Times New Roman" w:hAnsi="Times New Roman" w:cs="Times New Roman"/>
                <w:noProof/>
                <w:webHidden/>
                <w:sz w:val="24"/>
                <w:szCs w:val="24"/>
              </w:rPr>
              <w:fldChar w:fldCharType="separate"/>
            </w:r>
            <w:r w:rsidRPr="00B26CD5">
              <w:rPr>
                <w:rFonts w:ascii="Times New Roman" w:hAnsi="Times New Roman" w:cs="Times New Roman"/>
                <w:noProof/>
                <w:webHidden/>
                <w:sz w:val="24"/>
                <w:szCs w:val="24"/>
              </w:rPr>
              <w:t>6</w:t>
            </w:r>
            <w:r w:rsidRPr="00B26CD5">
              <w:rPr>
                <w:rFonts w:ascii="Times New Roman" w:hAnsi="Times New Roman" w:cs="Times New Roman"/>
                <w:noProof/>
                <w:webHidden/>
                <w:sz w:val="24"/>
                <w:szCs w:val="24"/>
              </w:rPr>
              <w:fldChar w:fldCharType="end"/>
            </w:r>
          </w:hyperlink>
        </w:p>
        <w:p w:rsidR="00B26CD5" w:rsidRPr="00B26CD5" w:rsidRDefault="00B26CD5">
          <w:pPr>
            <w:pStyle w:val="TOC2"/>
            <w:tabs>
              <w:tab w:val="right" w:leader="dot" w:pos="9350"/>
            </w:tabs>
            <w:rPr>
              <w:rFonts w:ascii="Times New Roman" w:hAnsi="Times New Roman" w:cs="Times New Roman"/>
              <w:noProof/>
              <w:sz w:val="24"/>
              <w:szCs w:val="24"/>
            </w:rPr>
          </w:pPr>
          <w:hyperlink w:anchor="_Toc182871800" w:history="1">
            <w:r w:rsidRPr="00B26CD5">
              <w:rPr>
                <w:rStyle w:val="Hyperlink"/>
                <w:rFonts w:ascii="Times New Roman" w:hAnsi="Times New Roman" w:cs="Times New Roman"/>
                <w:noProof/>
                <w:color w:val="auto"/>
                <w:sz w:val="24"/>
                <w:szCs w:val="24"/>
              </w:rPr>
              <w:t>Table 2 Age Group</w:t>
            </w:r>
            <w:r w:rsidRPr="00B26CD5">
              <w:rPr>
                <w:rFonts w:ascii="Times New Roman" w:hAnsi="Times New Roman" w:cs="Times New Roman"/>
                <w:noProof/>
                <w:webHidden/>
                <w:sz w:val="24"/>
                <w:szCs w:val="24"/>
              </w:rPr>
              <w:tab/>
            </w:r>
            <w:r w:rsidRPr="00B26CD5">
              <w:rPr>
                <w:rFonts w:ascii="Times New Roman" w:hAnsi="Times New Roman" w:cs="Times New Roman"/>
                <w:noProof/>
                <w:webHidden/>
                <w:sz w:val="24"/>
                <w:szCs w:val="24"/>
              </w:rPr>
              <w:fldChar w:fldCharType="begin"/>
            </w:r>
            <w:r w:rsidRPr="00B26CD5">
              <w:rPr>
                <w:rFonts w:ascii="Times New Roman" w:hAnsi="Times New Roman" w:cs="Times New Roman"/>
                <w:noProof/>
                <w:webHidden/>
                <w:sz w:val="24"/>
                <w:szCs w:val="24"/>
              </w:rPr>
              <w:instrText xml:space="preserve"> PAGEREF _Toc182871800 \h </w:instrText>
            </w:r>
            <w:r w:rsidRPr="00B26CD5">
              <w:rPr>
                <w:rFonts w:ascii="Times New Roman" w:hAnsi="Times New Roman" w:cs="Times New Roman"/>
                <w:noProof/>
                <w:webHidden/>
                <w:sz w:val="24"/>
                <w:szCs w:val="24"/>
              </w:rPr>
            </w:r>
            <w:r w:rsidRPr="00B26CD5">
              <w:rPr>
                <w:rFonts w:ascii="Times New Roman" w:hAnsi="Times New Roman" w:cs="Times New Roman"/>
                <w:noProof/>
                <w:webHidden/>
                <w:sz w:val="24"/>
                <w:szCs w:val="24"/>
              </w:rPr>
              <w:fldChar w:fldCharType="separate"/>
            </w:r>
            <w:r w:rsidRPr="00B26CD5">
              <w:rPr>
                <w:rFonts w:ascii="Times New Roman" w:hAnsi="Times New Roman" w:cs="Times New Roman"/>
                <w:noProof/>
                <w:webHidden/>
                <w:sz w:val="24"/>
                <w:szCs w:val="24"/>
              </w:rPr>
              <w:t>7</w:t>
            </w:r>
            <w:r w:rsidRPr="00B26CD5">
              <w:rPr>
                <w:rFonts w:ascii="Times New Roman" w:hAnsi="Times New Roman" w:cs="Times New Roman"/>
                <w:noProof/>
                <w:webHidden/>
                <w:sz w:val="24"/>
                <w:szCs w:val="24"/>
              </w:rPr>
              <w:fldChar w:fldCharType="end"/>
            </w:r>
          </w:hyperlink>
        </w:p>
        <w:p w:rsidR="00B26CD5" w:rsidRPr="00B26CD5" w:rsidRDefault="00B26CD5">
          <w:pPr>
            <w:pStyle w:val="TOC2"/>
            <w:tabs>
              <w:tab w:val="right" w:leader="dot" w:pos="9350"/>
            </w:tabs>
            <w:rPr>
              <w:rFonts w:ascii="Times New Roman" w:hAnsi="Times New Roman" w:cs="Times New Roman"/>
              <w:noProof/>
              <w:sz w:val="24"/>
              <w:szCs w:val="24"/>
            </w:rPr>
          </w:pPr>
          <w:hyperlink w:anchor="_Toc182871801" w:history="1">
            <w:r w:rsidRPr="00B26CD5">
              <w:rPr>
                <w:rStyle w:val="Hyperlink"/>
                <w:rFonts w:ascii="Times New Roman" w:hAnsi="Times New Roman" w:cs="Times New Roman"/>
                <w:noProof/>
                <w:color w:val="auto"/>
                <w:sz w:val="24"/>
                <w:szCs w:val="24"/>
              </w:rPr>
              <w:t>Reliability Analysis</w:t>
            </w:r>
            <w:r w:rsidRPr="00B26CD5">
              <w:rPr>
                <w:rFonts w:ascii="Times New Roman" w:hAnsi="Times New Roman" w:cs="Times New Roman"/>
                <w:noProof/>
                <w:webHidden/>
                <w:sz w:val="24"/>
                <w:szCs w:val="24"/>
              </w:rPr>
              <w:tab/>
            </w:r>
            <w:r w:rsidRPr="00B26CD5">
              <w:rPr>
                <w:rFonts w:ascii="Times New Roman" w:hAnsi="Times New Roman" w:cs="Times New Roman"/>
                <w:noProof/>
                <w:webHidden/>
                <w:sz w:val="24"/>
                <w:szCs w:val="24"/>
              </w:rPr>
              <w:fldChar w:fldCharType="begin"/>
            </w:r>
            <w:r w:rsidRPr="00B26CD5">
              <w:rPr>
                <w:rFonts w:ascii="Times New Roman" w:hAnsi="Times New Roman" w:cs="Times New Roman"/>
                <w:noProof/>
                <w:webHidden/>
                <w:sz w:val="24"/>
                <w:szCs w:val="24"/>
              </w:rPr>
              <w:instrText xml:space="preserve"> PAGEREF _Toc182871801 \h </w:instrText>
            </w:r>
            <w:r w:rsidRPr="00B26CD5">
              <w:rPr>
                <w:rFonts w:ascii="Times New Roman" w:hAnsi="Times New Roman" w:cs="Times New Roman"/>
                <w:noProof/>
                <w:webHidden/>
                <w:sz w:val="24"/>
                <w:szCs w:val="24"/>
              </w:rPr>
            </w:r>
            <w:r w:rsidRPr="00B26CD5">
              <w:rPr>
                <w:rFonts w:ascii="Times New Roman" w:hAnsi="Times New Roman" w:cs="Times New Roman"/>
                <w:noProof/>
                <w:webHidden/>
                <w:sz w:val="24"/>
                <w:szCs w:val="24"/>
              </w:rPr>
              <w:fldChar w:fldCharType="separate"/>
            </w:r>
            <w:r w:rsidRPr="00B26CD5">
              <w:rPr>
                <w:rFonts w:ascii="Times New Roman" w:hAnsi="Times New Roman" w:cs="Times New Roman"/>
                <w:noProof/>
                <w:webHidden/>
                <w:sz w:val="24"/>
                <w:szCs w:val="24"/>
              </w:rPr>
              <w:t>8</w:t>
            </w:r>
            <w:r w:rsidRPr="00B26CD5">
              <w:rPr>
                <w:rFonts w:ascii="Times New Roman" w:hAnsi="Times New Roman" w:cs="Times New Roman"/>
                <w:noProof/>
                <w:webHidden/>
                <w:sz w:val="24"/>
                <w:szCs w:val="24"/>
              </w:rPr>
              <w:fldChar w:fldCharType="end"/>
            </w:r>
          </w:hyperlink>
        </w:p>
        <w:p w:rsidR="00B26CD5" w:rsidRPr="00B26CD5" w:rsidRDefault="00B26CD5">
          <w:pPr>
            <w:pStyle w:val="TOC2"/>
            <w:tabs>
              <w:tab w:val="right" w:leader="dot" w:pos="9350"/>
            </w:tabs>
            <w:rPr>
              <w:rFonts w:ascii="Times New Roman" w:hAnsi="Times New Roman" w:cs="Times New Roman"/>
              <w:noProof/>
              <w:sz w:val="24"/>
              <w:szCs w:val="24"/>
            </w:rPr>
          </w:pPr>
          <w:hyperlink w:anchor="_Toc182871802" w:history="1">
            <w:r w:rsidRPr="00B26CD5">
              <w:rPr>
                <w:rStyle w:val="Hyperlink"/>
                <w:rFonts w:ascii="Times New Roman" w:hAnsi="Times New Roman" w:cs="Times New Roman"/>
                <w:noProof/>
                <w:color w:val="auto"/>
                <w:sz w:val="24"/>
                <w:szCs w:val="24"/>
              </w:rPr>
              <w:t>Table 3 Reliability</w:t>
            </w:r>
            <w:r w:rsidRPr="00B26CD5">
              <w:rPr>
                <w:rFonts w:ascii="Times New Roman" w:hAnsi="Times New Roman" w:cs="Times New Roman"/>
                <w:noProof/>
                <w:webHidden/>
                <w:sz w:val="24"/>
                <w:szCs w:val="24"/>
              </w:rPr>
              <w:tab/>
            </w:r>
            <w:r w:rsidRPr="00B26CD5">
              <w:rPr>
                <w:rFonts w:ascii="Times New Roman" w:hAnsi="Times New Roman" w:cs="Times New Roman"/>
                <w:noProof/>
                <w:webHidden/>
                <w:sz w:val="24"/>
                <w:szCs w:val="24"/>
              </w:rPr>
              <w:fldChar w:fldCharType="begin"/>
            </w:r>
            <w:r w:rsidRPr="00B26CD5">
              <w:rPr>
                <w:rFonts w:ascii="Times New Roman" w:hAnsi="Times New Roman" w:cs="Times New Roman"/>
                <w:noProof/>
                <w:webHidden/>
                <w:sz w:val="24"/>
                <w:szCs w:val="24"/>
              </w:rPr>
              <w:instrText xml:space="preserve"> PAGEREF _Toc182871802 \h </w:instrText>
            </w:r>
            <w:r w:rsidRPr="00B26CD5">
              <w:rPr>
                <w:rFonts w:ascii="Times New Roman" w:hAnsi="Times New Roman" w:cs="Times New Roman"/>
                <w:noProof/>
                <w:webHidden/>
                <w:sz w:val="24"/>
                <w:szCs w:val="24"/>
              </w:rPr>
            </w:r>
            <w:r w:rsidRPr="00B26CD5">
              <w:rPr>
                <w:rFonts w:ascii="Times New Roman" w:hAnsi="Times New Roman" w:cs="Times New Roman"/>
                <w:noProof/>
                <w:webHidden/>
                <w:sz w:val="24"/>
                <w:szCs w:val="24"/>
              </w:rPr>
              <w:fldChar w:fldCharType="separate"/>
            </w:r>
            <w:r w:rsidRPr="00B26CD5">
              <w:rPr>
                <w:rFonts w:ascii="Times New Roman" w:hAnsi="Times New Roman" w:cs="Times New Roman"/>
                <w:noProof/>
                <w:webHidden/>
                <w:sz w:val="24"/>
                <w:szCs w:val="24"/>
              </w:rPr>
              <w:t>8</w:t>
            </w:r>
            <w:r w:rsidRPr="00B26CD5">
              <w:rPr>
                <w:rFonts w:ascii="Times New Roman" w:hAnsi="Times New Roman" w:cs="Times New Roman"/>
                <w:noProof/>
                <w:webHidden/>
                <w:sz w:val="24"/>
                <w:szCs w:val="24"/>
              </w:rPr>
              <w:fldChar w:fldCharType="end"/>
            </w:r>
          </w:hyperlink>
        </w:p>
        <w:p w:rsidR="00B26CD5" w:rsidRPr="00B26CD5" w:rsidRDefault="00B26CD5">
          <w:pPr>
            <w:pStyle w:val="TOC2"/>
            <w:tabs>
              <w:tab w:val="right" w:leader="dot" w:pos="9350"/>
            </w:tabs>
            <w:rPr>
              <w:rFonts w:ascii="Times New Roman" w:hAnsi="Times New Roman" w:cs="Times New Roman"/>
              <w:noProof/>
              <w:sz w:val="24"/>
              <w:szCs w:val="24"/>
            </w:rPr>
          </w:pPr>
          <w:hyperlink w:anchor="_Toc182871803" w:history="1">
            <w:r w:rsidRPr="00B26CD5">
              <w:rPr>
                <w:rStyle w:val="Hyperlink"/>
                <w:rFonts w:ascii="Times New Roman" w:hAnsi="Times New Roman" w:cs="Times New Roman"/>
                <w:noProof/>
                <w:color w:val="auto"/>
                <w:sz w:val="24"/>
                <w:szCs w:val="24"/>
              </w:rPr>
              <w:t>Multiple Regression Analysis</w:t>
            </w:r>
            <w:r w:rsidRPr="00B26CD5">
              <w:rPr>
                <w:rFonts w:ascii="Times New Roman" w:hAnsi="Times New Roman" w:cs="Times New Roman"/>
                <w:noProof/>
                <w:webHidden/>
                <w:sz w:val="24"/>
                <w:szCs w:val="24"/>
              </w:rPr>
              <w:tab/>
            </w:r>
            <w:r w:rsidRPr="00B26CD5">
              <w:rPr>
                <w:rFonts w:ascii="Times New Roman" w:hAnsi="Times New Roman" w:cs="Times New Roman"/>
                <w:noProof/>
                <w:webHidden/>
                <w:sz w:val="24"/>
                <w:szCs w:val="24"/>
              </w:rPr>
              <w:fldChar w:fldCharType="begin"/>
            </w:r>
            <w:r w:rsidRPr="00B26CD5">
              <w:rPr>
                <w:rFonts w:ascii="Times New Roman" w:hAnsi="Times New Roman" w:cs="Times New Roman"/>
                <w:noProof/>
                <w:webHidden/>
                <w:sz w:val="24"/>
                <w:szCs w:val="24"/>
              </w:rPr>
              <w:instrText xml:space="preserve"> PAGEREF _Toc182871803 \h </w:instrText>
            </w:r>
            <w:r w:rsidRPr="00B26CD5">
              <w:rPr>
                <w:rFonts w:ascii="Times New Roman" w:hAnsi="Times New Roman" w:cs="Times New Roman"/>
                <w:noProof/>
                <w:webHidden/>
                <w:sz w:val="24"/>
                <w:szCs w:val="24"/>
              </w:rPr>
            </w:r>
            <w:r w:rsidRPr="00B26CD5">
              <w:rPr>
                <w:rFonts w:ascii="Times New Roman" w:hAnsi="Times New Roman" w:cs="Times New Roman"/>
                <w:noProof/>
                <w:webHidden/>
                <w:sz w:val="24"/>
                <w:szCs w:val="24"/>
              </w:rPr>
              <w:fldChar w:fldCharType="separate"/>
            </w:r>
            <w:r w:rsidRPr="00B26CD5">
              <w:rPr>
                <w:rFonts w:ascii="Times New Roman" w:hAnsi="Times New Roman" w:cs="Times New Roman"/>
                <w:noProof/>
                <w:webHidden/>
                <w:sz w:val="24"/>
                <w:szCs w:val="24"/>
              </w:rPr>
              <w:t>8</w:t>
            </w:r>
            <w:r w:rsidRPr="00B26CD5">
              <w:rPr>
                <w:rFonts w:ascii="Times New Roman" w:hAnsi="Times New Roman" w:cs="Times New Roman"/>
                <w:noProof/>
                <w:webHidden/>
                <w:sz w:val="24"/>
                <w:szCs w:val="24"/>
              </w:rPr>
              <w:fldChar w:fldCharType="end"/>
            </w:r>
          </w:hyperlink>
        </w:p>
        <w:p w:rsidR="00B26CD5" w:rsidRPr="00B26CD5" w:rsidRDefault="00B26CD5">
          <w:pPr>
            <w:pStyle w:val="TOC2"/>
            <w:tabs>
              <w:tab w:val="right" w:leader="dot" w:pos="9350"/>
            </w:tabs>
            <w:rPr>
              <w:rFonts w:ascii="Times New Roman" w:hAnsi="Times New Roman" w:cs="Times New Roman"/>
              <w:noProof/>
              <w:sz w:val="24"/>
              <w:szCs w:val="24"/>
            </w:rPr>
          </w:pPr>
          <w:hyperlink w:anchor="_Toc182871804" w:history="1">
            <w:r w:rsidRPr="00B26CD5">
              <w:rPr>
                <w:rStyle w:val="Hyperlink"/>
                <w:rFonts w:ascii="Times New Roman" w:hAnsi="Times New Roman" w:cs="Times New Roman"/>
                <w:noProof/>
                <w:color w:val="auto"/>
                <w:sz w:val="24"/>
                <w:szCs w:val="24"/>
              </w:rPr>
              <w:t>Table 4 Model Summary</w:t>
            </w:r>
            <w:r w:rsidRPr="00B26CD5">
              <w:rPr>
                <w:rFonts w:ascii="Times New Roman" w:hAnsi="Times New Roman" w:cs="Times New Roman"/>
                <w:noProof/>
                <w:webHidden/>
                <w:sz w:val="24"/>
                <w:szCs w:val="24"/>
              </w:rPr>
              <w:tab/>
            </w:r>
            <w:r w:rsidRPr="00B26CD5">
              <w:rPr>
                <w:rFonts w:ascii="Times New Roman" w:hAnsi="Times New Roman" w:cs="Times New Roman"/>
                <w:noProof/>
                <w:webHidden/>
                <w:sz w:val="24"/>
                <w:szCs w:val="24"/>
              </w:rPr>
              <w:fldChar w:fldCharType="begin"/>
            </w:r>
            <w:r w:rsidRPr="00B26CD5">
              <w:rPr>
                <w:rFonts w:ascii="Times New Roman" w:hAnsi="Times New Roman" w:cs="Times New Roman"/>
                <w:noProof/>
                <w:webHidden/>
                <w:sz w:val="24"/>
                <w:szCs w:val="24"/>
              </w:rPr>
              <w:instrText xml:space="preserve"> PAGEREF _Toc182871804 \h </w:instrText>
            </w:r>
            <w:r w:rsidRPr="00B26CD5">
              <w:rPr>
                <w:rFonts w:ascii="Times New Roman" w:hAnsi="Times New Roman" w:cs="Times New Roman"/>
                <w:noProof/>
                <w:webHidden/>
                <w:sz w:val="24"/>
                <w:szCs w:val="24"/>
              </w:rPr>
            </w:r>
            <w:r w:rsidRPr="00B26CD5">
              <w:rPr>
                <w:rFonts w:ascii="Times New Roman" w:hAnsi="Times New Roman" w:cs="Times New Roman"/>
                <w:noProof/>
                <w:webHidden/>
                <w:sz w:val="24"/>
                <w:szCs w:val="24"/>
              </w:rPr>
              <w:fldChar w:fldCharType="separate"/>
            </w:r>
            <w:r w:rsidRPr="00B26CD5">
              <w:rPr>
                <w:rFonts w:ascii="Times New Roman" w:hAnsi="Times New Roman" w:cs="Times New Roman"/>
                <w:noProof/>
                <w:webHidden/>
                <w:sz w:val="24"/>
                <w:szCs w:val="24"/>
              </w:rPr>
              <w:t>8</w:t>
            </w:r>
            <w:r w:rsidRPr="00B26CD5">
              <w:rPr>
                <w:rFonts w:ascii="Times New Roman" w:hAnsi="Times New Roman" w:cs="Times New Roman"/>
                <w:noProof/>
                <w:webHidden/>
                <w:sz w:val="24"/>
                <w:szCs w:val="24"/>
              </w:rPr>
              <w:fldChar w:fldCharType="end"/>
            </w:r>
          </w:hyperlink>
        </w:p>
        <w:p w:rsidR="00B26CD5" w:rsidRPr="00B26CD5" w:rsidRDefault="00B26CD5">
          <w:pPr>
            <w:pStyle w:val="TOC2"/>
            <w:tabs>
              <w:tab w:val="right" w:leader="dot" w:pos="9350"/>
            </w:tabs>
            <w:rPr>
              <w:rFonts w:ascii="Times New Roman" w:hAnsi="Times New Roman" w:cs="Times New Roman"/>
              <w:noProof/>
              <w:sz w:val="24"/>
              <w:szCs w:val="24"/>
            </w:rPr>
          </w:pPr>
          <w:hyperlink w:anchor="_Toc182871805" w:history="1">
            <w:r w:rsidRPr="00B26CD5">
              <w:rPr>
                <w:rStyle w:val="Hyperlink"/>
                <w:rFonts w:ascii="Times New Roman" w:hAnsi="Times New Roman" w:cs="Times New Roman"/>
                <w:noProof/>
                <w:color w:val="auto"/>
                <w:sz w:val="24"/>
                <w:szCs w:val="24"/>
              </w:rPr>
              <w:t>Table ANOVAa</w:t>
            </w:r>
            <w:r w:rsidRPr="00B26CD5">
              <w:rPr>
                <w:rFonts w:ascii="Times New Roman" w:hAnsi="Times New Roman" w:cs="Times New Roman"/>
                <w:noProof/>
                <w:webHidden/>
                <w:sz w:val="24"/>
                <w:szCs w:val="24"/>
              </w:rPr>
              <w:tab/>
            </w:r>
            <w:r w:rsidRPr="00B26CD5">
              <w:rPr>
                <w:rFonts w:ascii="Times New Roman" w:hAnsi="Times New Roman" w:cs="Times New Roman"/>
                <w:noProof/>
                <w:webHidden/>
                <w:sz w:val="24"/>
                <w:szCs w:val="24"/>
              </w:rPr>
              <w:fldChar w:fldCharType="begin"/>
            </w:r>
            <w:r w:rsidRPr="00B26CD5">
              <w:rPr>
                <w:rFonts w:ascii="Times New Roman" w:hAnsi="Times New Roman" w:cs="Times New Roman"/>
                <w:noProof/>
                <w:webHidden/>
                <w:sz w:val="24"/>
                <w:szCs w:val="24"/>
              </w:rPr>
              <w:instrText xml:space="preserve"> PAGEREF _Toc182871805 \h </w:instrText>
            </w:r>
            <w:r w:rsidRPr="00B26CD5">
              <w:rPr>
                <w:rFonts w:ascii="Times New Roman" w:hAnsi="Times New Roman" w:cs="Times New Roman"/>
                <w:noProof/>
                <w:webHidden/>
                <w:sz w:val="24"/>
                <w:szCs w:val="24"/>
              </w:rPr>
            </w:r>
            <w:r w:rsidRPr="00B26CD5">
              <w:rPr>
                <w:rFonts w:ascii="Times New Roman" w:hAnsi="Times New Roman" w:cs="Times New Roman"/>
                <w:noProof/>
                <w:webHidden/>
                <w:sz w:val="24"/>
                <w:szCs w:val="24"/>
              </w:rPr>
              <w:fldChar w:fldCharType="separate"/>
            </w:r>
            <w:r w:rsidRPr="00B26CD5">
              <w:rPr>
                <w:rFonts w:ascii="Times New Roman" w:hAnsi="Times New Roman" w:cs="Times New Roman"/>
                <w:noProof/>
                <w:webHidden/>
                <w:sz w:val="24"/>
                <w:szCs w:val="24"/>
              </w:rPr>
              <w:t>9</w:t>
            </w:r>
            <w:r w:rsidRPr="00B26CD5">
              <w:rPr>
                <w:rFonts w:ascii="Times New Roman" w:hAnsi="Times New Roman" w:cs="Times New Roman"/>
                <w:noProof/>
                <w:webHidden/>
                <w:sz w:val="24"/>
                <w:szCs w:val="24"/>
              </w:rPr>
              <w:fldChar w:fldCharType="end"/>
            </w:r>
          </w:hyperlink>
        </w:p>
        <w:p w:rsidR="00B26CD5" w:rsidRPr="00B26CD5" w:rsidRDefault="00B26CD5">
          <w:pPr>
            <w:pStyle w:val="TOC1"/>
            <w:tabs>
              <w:tab w:val="right" w:leader="dot" w:pos="9350"/>
            </w:tabs>
            <w:rPr>
              <w:rFonts w:ascii="Times New Roman" w:hAnsi="Times New Roman" w:cs="Times New Roman"/>
              <w:noProof/>
              <w:sz w:val="24"/>
              <w:szCs w:val="24"/>
            </w:rPr>
          </w:pPr>
          <w:hyperlink w:anchor="_Toc182871806" w:history="1">
            <w:r w:rsidRPr="00B26CD5">
              <w:rPr>
                <w:rStyle w:val="Hyperlink"/>
                <w:rFonts w:ascii="Times New Roman" w:hAnsi="Times New Roman" w:cs="Times New Roman"/>
                <w:noProof/>
                <w:color w:val="auto"/>
                <w:sz w:val="24"/>
                <w:szCs w:val="24"/>
              </w:rPr>
              <w:t>Discussion</w:t>
            </w:r>
            <w:r w:rsidRPr="00B26CD5">
              <w:rPr>
                <w:rFonts w:ascii="Times New Roman" w:hAnsi="Times New Roman" w:cs="Times New Roman"/>
                <w:noProof/>
                <w:webHidden/>
                <w:sz w:val="24"/>
                <w:szCs w:val="24"/>
              </w:rPr>
              <w:tab/>
            </w:r>
            <w:r w:rsidRPr="00B26CD5">
              <w:rPr>
                <w:rFonts w:ascii="Times New Roman" w:hAnsi="Times New Roman" w:cs="Times New Roman"/>
                <w:noProof/>
                <w:webHidden/>
                <w:sz w:val="24"/>
                <w:szCs w:val="24"/>
              </w:rPr>
              <w:fldChar w:fldCharType="begin"/>
            </w:r>
            <w:r w:rsidRPr="00B26CD5">
              <w:rPr>
                <w:rFonts w:ascii="Times New Roman" w:hAnsi="Times New Roman" w:cs="Times New Roman"/>
                <w:noProof/>
                <w:webHidden/>
                <w:sz w:val="24"/>
                <w:szCs w:val="24"/>
              </w:rPr>
              <w:instrText xml:space="preserve"> PAGEREF _Toc182871806 \h </w:instrText>
            </w:r>
            <w:r w:rsidRPr="00B26CD5">
              <w:rPr>
                <w:rFonts w:ascii="Times New Roman" w:hAnsi="Times New Roman" w:cs="Times New Roman"/>
                <w:noProof/>
                <w:webHidden/>
                <w:sz w:val="24"/>
                <w:szCs w:val="24"/>
              </w:rPr>
            </w:r>
            <w:r w:rsidRPr="00B26CD5">
              <w:rPr>
                <w:rFonts w:ascii="Times New Roman" w:hAnsi="Times New Roman" w:cs="Times New Roman"/>
                <w:noProof/>
                <w:webHidden/>
                <w:sz w:val="24"/>
                <w:szCs w:val="24"/>
              </w:rPr>
              <w:fldChar w:fldCharType="separate"/>
            </w:r>
            <w:r w:rsidRPr="00B26CD5">
              <w:rPr>
                <w:rFonts w:ascii="Times New Roman" w:hAnsi="Times New Roman" w:cs="Times New Roman"/>
                <w:noProof/>
                <w:webHidden/>
                <w:sz w:val="24"/>
                <w:szCs w:val="24"/>
              </w:rPr>
              <w:t>9</w:t>
            </w:r>
            <w:r w:rsidRPr="00B26CD5">
              <w:rPr>
                <w:rFonts w:ascii="Times New Roman" w:hAnsi="Times New Roman" w:cs="Times New Roman"/>
                <w:noProof/>
                <w:webHidden/>
                <w:sz w:val="24"/>
                <w:szCs w:val="24"/>
              </w:rPr>
              <w:fldChar w:fldCharType="end"/>
            </w:r>
          </w:hyperlink>
        </w:p>
        <w:p w:rsidR="00B26CD5" w:rsidRPr="00B26CD5" w:rsidRDefault="00B26CD5">
          <w:pPr>
            <w:pStyle w:val="TOC1"/>
            <w:tabs>
              <w:tab w:val="right" w:leader="dot" w:pos="9350"/>
            </w:tabs>
            <w:rPr>
              <w:rFonts w:ascii="Times New Roman" w:hAnsi="Times New Roman" w:cs="Times New Roman"/>
              <w:noProof/>
              <w:sz w:val="24"/>
              <w:szCs w:val="24"/>
            </w:rPr>
          </w:pPr>
          <w:hyperlink w:anchor="_Toc182871807" w:history="1">
            <w:r w:rsidRPr="00B26CD5">
              <w:rPr>
                <w:rStyle w:val="Hyperlink"/>
                <w:rFonts w:ascii="Times New Roman" w:hAnsi="Times New Roman" w:cs="Times New Roman"/>
                <w:noProof/>
                <w:color w:val="auto"/>
                <w:sz w:val="24"/>
                <w:szCs w:val="24"/>
              </w:rPr>
              <w:t>References</w:t>
            </w:r>
            <w:r w:rsidRPr="00B26CD5">
              <w:rPr>
                <w:rFonts w:ascii="Times New Roman" w:hAnsi="Times New Roman" w:cs="Times New Roman"/>
                <w:noProof/>
                <w:webHidden/>
                <w:sz w:val="24"/>
                <w:szCs w:val="24"/>
              </w:rPr>
              <w:tab/>
            </w:r>
            <w:r w:rsidRPr="00B26CD5">
              <w:rPr>
                <w:rFonts w:ascii="Times New Roman" w:hAnsi="Times New Roman" w:cs="Times New Roman"/>
                <w:noProof/>
                <w:webHidden/>
                <w:sz w:val="24"/>
                <w:szCs w:val="24"/>
              </w:rPr>
              <w:fldChar w:fldCharType="begin"/>
            </w:r>
            <w:r w:rsidRPr="00B26CD5">
              <w:rPr>
                <w:rFonts w:ascii="Times New Roman" w:hAnsi="Times New Roman" w:cs="Times New Roman"/>
                <w:noProof/>
                <w:webHidden/>
                <w:sz w:val="24"/>
                <w:szCs w:val="24"/>
              </w:rPr>
              <w:instrText xml:space="preserve"> PAGEREF _Toc182871807 \h </w:instrText>
            </w:r>
            <w:r w:rsidRPr="00B26CD5">
              <w:rPr>
                <w:rFonts w:ascii="Times New Roman" w:hAnsi="Times New Roman" w:cs="Times New Roman"/>
                <w:noProof/>
                <w:webHidden/>
                <w:sz w:val="24"/>
                <w:szCs w:val="24"/>
              </w:rPr>
            </w:r>
            <w:r w:rsidRPr="00B26CD5">
              <w:rPr>
                <w:rFonts w:ascii="Times New Roman" w:hAnsi="Times New Roman" w:cs="Times New Roman"/>
                <w:noProof/>
                <w:webHidden/>
                <w:sz w:val="24"/>
                <w:szCs w:val="24"/>
              </w:rPr>
              <w:fldChar w:fldCharType="separate"/>
            </w:r>
            <w:r w:rsidRPr="00B26CD5">
              <w:rPr>
                <w:rFonts w:ascii="Times New Roman" w:hAnsi="Times New Roman" w:cs="Times New Roman"/>
                <w:noProof/>
                <w:webHidden/>
                <w:sz w:val="24"/>
                <w:szCs w:val="24"/>
              </w:rPr>
              <w:t>12</w:t>
            </w:r>
            <w:r w:rsidRPr="00B26CD5">
              <w:rPr>
                <w:rFonts w:ascii="Times New Roman" w:hAnsi="Times New Roman" w:cs="Times New Roman"/>
                <w:noProof/>
                <w:webHidden/>
                <w:sz w:val="24"/>
                <w:szCs w:val="24"/>
              </w:rPr>
              <w:fldChar w:fldCharType="end"/>
            </w:r>
          </w:hyperlink>
        </w:p>
        <w:p w:rsidR="00B26CD5" w:rsidRPr="00B26CD5" w:rsidRDefault="00B26CD5">
          <w:pPr>
            <w:rPr>
              <w:rFonts w:ascii="Times New Roman" w:hAnsi="Times New Roman" w:cs="Times New Roman"/>
              <w:sz w:val="24"/>
              <w:szCs w:val="24"/>
            </w:rPr>
          </w:pPr>
          <w:r w:rsidRPr="00B26CD5">
            <w:rPr>
              <w:rFonts w:ascii="Times New Roman" w:hAnsi="Times New Roman" w:cs="Times New Roman"/>
              <w:b/>
              <w:bCs/>
              <w:noProof/>
              <w:sz w:val="24"/>
              <w:szCs w:val="24"/>
            </w:rPr>
            <w:fldChar w:fldCharType="end"/>
          </w:r>
        </w:p>
      </w:sdtContent>
    </w:sdt>
    <w:p w:rsidR="00EA27C5" w:rsidRPr="00D65525" w:rsidRDefault="00EA27C5" w:rsidP="00D65525">
      <w:pPr>
        <w:spacing w:line="360" w:lineRule="auto"/>
        <w:jc w:val="both"/>
        <w:rPr>
          <w:rFonts w:ascii="Times New Roman" w:hAnsi="Times New Roman" w:cs="Times New Roman"/>
          <w:b/>
          <w:sz w:val="24"/>
          <w:szCs w:val="24"/>
        </w:rPr>
      </w:pPr>
    </w:p>
    <w:p w:rsidR="00EA27C5" w:rsidRPr="00D65525" w:rsidRDefault="00EA27C5" w:rsidP="00D65525">
      <w:pPr>
        <w:spacing w:line="360" w:lineRule="auto"/>
        <w:jc w:val="both"/>
        <w:rPr>
          <w:rFonts w:ascii="Times New Roman" w:hAnsi="Times New Roman" w:cs="Times New Roman"/>
          <w:b/>
          <w:sz w:val="24"/>
          <w:szCs w:val="24"/>
        </w:rPr>
      </w:pPr>
    </w:p>
    <w:p w:rsidR="00EA27C5" w:rsidRPr="00D65525" w:rsidRDefault="00EA27C5" w:rsidP="00D65525">
      <w:pPr>
        <w:spacing w:line="360" w:lineRule="auto"/>
        <w:jc w:val="both"/>
        <w:rPr>
          <w:rFonts w:ascii="Times New Roman" w:hAnsi="Times New Roman" w:cs="Times New Roman"/>
          <w:b/>
          <w:sz w:val="24"/>
          <w:szCs w:val="24"/>
        </w:rPr>
      </w:pPr>
    </w:p>
    <w:p w:rsidR="00EA27C5" w:rsidRPr="00D65525" w:rsidRDefault="00EA27C5" w:rsidP="00D65525">
      <w:pPr>
        <w:spacing w:line="360" w:lineRule="auto"/>
        <w:jc w:val="both"/>
        <w:rPr>
          <w:rFonts w:ascii="Times New Roman" w:hAnsi="Times New Roman" w:cs="Times New Roman"/>
          <w:b/>
          <w:sz w:val="24"/>
          <w:szCs w:val="24"/>
        </w:rPr>
      </w:pPr>
    </w:p>
    <w:p w:rsidR="00EA27C5" w:rsidRPr="00D65525" w:rsidRDefault="00EA27C5" w:rsidP="00D65525">
      <w:pPr>
        <w:spacing w:line="360" w:lineRule="auto"/>
        <w:jc w:val="both"/>
        <w:rPr>
          <w:rFonts w:ascii="Times New Roman" w:hAnsi="Times New Roman" w:cs="Times New Roman"/>
          <w:b/>
          <w:sz w:val="24"/>
          <w:szCs w:val="24"/>
        </w:rPr>
      </w:pPr>
    </w:p>
    <w:p w:rsidR="00EA27C5" w:rsidRPr="00D65525" w:rsidRDefault="00EA27C5" w:rsidP="00D65525">
      <w:pPr>
        <w:spacing w:line="360" w:lineRule="auto"/>
        <w:jc w:val="both"/>
        <w:rPr>
          <w:rFonts w:ascii="Times New Roman" w:hAnsi="Times New Roman" w:cs="Times New Roman"/>
          <w:b/>
          <w:sz w:val="24"/>
          <w:szCs w:val="24"/>
        </w:rPr>
      </w:pPr>
    </w:p>
    <w:p w:rsidR="00EA27C5" w:rsidRPr="00D65525" w:rsidRDefault="00EA27C5" w:rsidP="00D65525">
      <w:pPr>
        <w:spacing w:line="360" w:lineRule="auto"/>
        <w:jc w:val="both"/>
        <w:rPr>
          <w:rFonts w:ascii="Times New Roman" w:hAnsi="Times New Roman" w:cs="Times New Roman"/>
          <w:b/>
          <w:sz w:val="24"/>
          <w:szCs w:val="24"/>
        </w:rPr>
      </w:pPr>
    </w:p>
    <w:p w:rsidR="00EA27C5" w:rsidRPr="00D65525" w:rsidRDefault="00EA27C5" w:rsidP="00D65525">
      <w:pPr>
        <w:spacing w:line="360" w:lineRule="auto"/>
        <w:jc w:val="both"/>
        <w:rPr>
          <w:rFonts w:ascii="Times New Roman" w:hAnsi="Times New Roman" w:cs="Times New Roman"/>
          <w:b/>
          <w:sz w:val="24"/>
          <w:szCs w:val="24"/>
        </w:rPr>
      </w:pPr>
    </w:p>
    <w:p w:rsidR="00EA27C5" w:rsidRPr="00D65525" w:rsidRDefault="00EA27C5" w:rsidP="00D65525">
      <w:pPr>
        <w:spacing w:line="360" w:lineRule="auto"/>
        <w:jc w:val="both"/>
        <w:rPr>
          <w:rFonts w:ascii="Times New Roman" w:hAnsi="Times New Roman" w:cs="Times New Roman"/>
          <w:b/>
          <w:sz w:val="24"/>
          <w:szCs w:val="24"/>
        </w:rPr>
      </w:pPr>
    </w:p>
    <w:p w:rsidR="00EA27C5" w:rsidRPr="00D65525" w:rsidRDefault="00EA27C5" w:rsidP="00D65525">
      <w:pPr>
        <w:spacing w:line="360" w:lineRule="auto"/>
        <w:jc w:val="both"/>
        <w:rPr>
          <w:rFonts w:ascii="Times New Roman" w:hAnsi="Times New Roman" w:cs="Times New Roman"/>
          <w:b/>
          <w:sz w:val="24"/>
          <w:szCs w:val="24"/>
        </w:rPr>
      </w:pPr>
    </w:p>
    <w:p w:rsidR="00EA27C5" w:rsidRPr="00D65525" w:rsidRDefault="00EA27C5" w:rsidP="00D65525">
      <w:pPr>
        <w:spacing w:line="360" w:lineRule="auto"/>
        <w:jc w:val="both"/>
        <w:rPr>
          <w:rFonts w:ascii="Times New Roman" w:hAnsi="Times New Roman" w:cs="Times New Roman"/>
          <w:b/>
          <w:sz w:val="24"/>
          <w:szCs w:val="24"/>
        </w:rPr>
      </w:pPr>
    </w:p>
    <w:p w:rsidR="00EA27C5" w:rsidRPr="00D65525" w:rsidRDefault="00EA27C5" w:rsidP="00D65525">
      <w:pPr>
        <w:spacing w:line="360" w:lineRule="auto"/>
        <w:jc w:val="both"/>
        <w:rPr>
          <w:rFonts w:ascii="Times New Roman" w:hAnsi="Times New Roman" w:cs="Times New Roman"/>
          <w:b/>
          <w:sz w:val="24"/>
          <w:szCs w:val="24"/>
        </w:rPr>
      </w:pPr>
    </w:p>
    <w:p w:rsidR="00EA27C5" w:rsidRPr="00D65525" w:rsidRDefault="00EA27C5" w:rsidP="00D65525">
      <w:pPr>
        <w:spacing w:line="360" w:lineRule="auto"/>
        <w:jc w:val="both"/>
        <w:rPr>
          <w:rFonts w:ascii="Times New Roman" w:hAnsi="Times New Roman" w:cs="Times New Roman"/>
          <w:b/>
          <w:sz w:val="24"/>
          <w:szCs w:val="24"/>
        </w:rPr>
      </w:pPr>
    </w:p>
    <w:p w:rsidR="00EA27C5" w:rsidRPr="00D65525" w:rsidRDefault="00EA27C5" w:rsidP="00D65525">
      <w:pPr>
        <w:spacing w:line="360" w:lineRule="auto"/>
        <w:jc w:val="both"/>
        <w:rPr>
          <w:rFonts w:ascii="Times New Roman" w:hAnsi="Times New Roman" w:cs="Times New Roman"/>
          <w:b/>
          <w:sz w:val="24"/>
          <w:szCs w:val="24"/>
        </w:rPr>
      </w:pPr>
    </w:p>
    <w:p w:rsidR="00EA27C5" w:rsidRPr="00D65525" w:rsidRDefault="00EA27C5" w:rsidP="00C111EB">
      <w:pPr>
        <w:pStyle w:val="Heading1"/>
      </w:pPr>
      <w:bookmarkStart w:id="0" w:name="_Toc182871791"/>
      <w:r w:rsidRPr="00D65525">
        <w:lastRenderedPageBreak/>
        <w:t>Introduction</w:t>
      </w:r>
      <w:bookmarkEnd w:id="0"/>
      <w:r w:rsidRPr="00D65525">
        <w:t xml:space="preserve"> </w:t>
      </w:r>
    </w:p>
    <w:p w:rsidR="00EA27C5" w:rsidRPr="00D65525" w:rsidRDefault="00EA27C5" w:rsidP="00D65525">
      <w:pPr>
        <w:pStyle w:val="NormalWeb"/>
        <w:spacing w:before="0" w:beforeAutospacing="0" w:after="0" w:afterAutospacing="0" w:line="360" w:lineRule="auto"/>
        <w:jc w:val="both"/>
        <w:rPr>
          <w:color w:val="0E101A"/>
        </w:rPr>
      </w:pPr>
      <w:r w:rsidRPr="00D65525">
        <w:rPr>
          <w:color w:val="0E101A"/>
        </w:rPr>
        <w:t xml:space="preserve">Episodic memory is one of the critical components of human cognition, which implies the subject's actions to fix some event, experience, or information in memory and reproduce it as a complete and qualitatively stable whole. It is intact for day-to-day life, and its deficit usually defines neurodegenerative disorders such as Alzheimer's disease (AD) or mild Cognitive Impairment (MCI). In the recent past, episodic memory has been a focus in cognitive neuroscience, especially in remembering and remembering extra-momentarily every day. </w:t>
      </w:r>
      <w:proofErr w:type="gramStart"/>
      <w:r w:rsidRPr="00D65525">
        <w:rPr>
          <w:color w:val="0E101A"/>
        </w:rPr>
        <w:t>tDCS</w:t>
      </w:r>
      <w:proofErr w:type="gramEnd"/>
      <w:r w:rsidRPr="00D65525">
        <w:rPr>
          <w:color w:val="0E101A"/>
        </w:rPr>
        <w:t>, a non-invasive technique targeted at the brain, has gained much attention as a probable procedure to enhance neural plasticity and memory-related functions.</w:t>
      </w:r>
    </w:p>
    <w:p w:rsidR="00EA27C5" w:rsidRPr="00D65525" w:rsidRDefault="00EA27C5" w:rsidP="00D65525">
      <w:pPr>
        <w:pStyle w:val="NormalWeb"/>
        <w:spacing w:before="0" w:beforeAutospacing="0" w:after="0" w:afterAutospacing="0" w:line="360" w:lineRule="auto"/>
        <w:jc w:val="both"/>
        <w:rPr>
          <w:color w:val="0E101A"/>
        </w:rPr>
      </w:pPr>
      <w:r w:rsidRPr="00D65525">
        <w:rPr>
          <w:color w:val="0E101A"/>
        </w:rPr>
        <w:t>Stimulating more than one electrode affects neuronal excitability based on a low electrical current delivered to the scalp by tDCS. Some research shows that episodic memory recall is boosted when making tDCS over certain areas, including the right DLPFC or left parietal cortex (</w:t>
      </w:r>
      <w:proofErr w:type="spellStart"/>
      <w:r w:rsidRPr="00D65525">
        <w:rPr>
          <w:color w:val="0E101A"/>
        </w:rPr>
        <w:t>Manenti</w:t>
      </w:r>
      <w:proofErr w:type="spellEnd"/>
      <w:r w:rsidRPr="00D65525">
        <w:rPr>
          <w:color w:val="0E101A"/>
        </w:rPr>
        <w:t xml:space="preserve"> et al., 2018). However, there is evidence that its effectiveness depends on the subject characteristics, including the cognitive reserve (CR), a protective factor of a brain against neuropathology, which depends on education, the complexity of the work, and intellective activities (Stern, 2002). Cognitive reserve, therefore, has been described as a moderator of memory outcomes post-TDCS.</w:t>
      </w:r>
    </w:p>
    <w:p w:rsidR="00EA27C5" w:rsidRPr="00D65525" w:rsidRDefault="00EA27C5" w:rsidP="00D65525">
      <w:pPr>
        <w:pStyle w:val="NormalWeb"/>
        <w:spacing w:before="0" w:beforeAutospacing="0" w:after="0" w:afterAutospacing="0" w:line="360" w:lineRule="auto"/>
        <w:jc w:val="both"/>
        <w:rPr>
          <w:color w:val="0E101A"/>
        </w:rPr>
      </w:pPr>
      <w:r w:rsidRPr="00D65525">
        <w:rPr>
          <w:color w:val="0E101A"/>
        </w:rPr>
        <w:t xml:space="preserve">For example, Kim et al. (2020) assessed the moderating effect of cognitive reserve on episodic memory improvement and tDCS among healthy adults. By analyzing the results, it was clear that there was an interaction between the different levels of CR and tDCS treatment. In the same way, </w:t>
      </w:r>
      <w:proofErr w:type="spellStart"/>
      <w:r w:rsidRPr="00D65525">
        <w:rPr>
          <w:color w:val="0E101A"/>
        </w:rPr>
        <w:t>Sandrini</w:t>
      </w:r>
      <w:proofErr w:type="spellEnd"/>
      <w:r w:rsidRPr="00D65525">
        <w:rPr>
          <w:color w:val="0E101A"/>
        </w:rPr>
        <w:t xml:space="preserve"> et al. (2019) noted that a higher CR means better recall results after tDCS of the left DLPFC. In addition, specific neuropsychological measures in the baseline or working memory and attention have also been found to affect tDCS, according to </w:t>
      </w:r>
      <w:proofErr w:type="spellStart"/>
      <w:r w:rsidRPr="00D65525">
        <w:rPr>
          <w:color w:val="0E101A"/>
        </w:rPr>
        <w:t>Berryhill</w:t>
      </w:r>
      <w:proofErr w:type="spellEnd"/>
      <w:r w:rsidRPr="00D65525">
        <w:rPr>
          <w:color w:val="0E101A"/>
        </w:rPr>
        <w:t xml:space="preserve"> &amp; Jones, 2020. To the extent that prenatal risk across the developmental span is associated with these socio-behavioral traits, these results further support the view that individual children's cognitive characteristics have implications for the efficacy of stimulating-based procedures.</w:t>
      </w:r>
    </w:p>
    <w:p w:rsidR="00EA27C5" w:rsidRPr="00D65525" w:rsidRDefault="00EA27C5" w:rsidP="00D65525">
      <w:pPr>
        <w:pStyle w:val="NormalWeb"/>
        <w:spacing w:before="0" w:beforeAutospacing="0" w:after="0" w:afterAutospacing="0" w:line="360" w:lineRule="auto"/>
        <w:jc w:val="both"/>
        <w:rPr>
          <w:color w:val="0E101A"/>
        </w:rPr>
      </w:pPr>
      <w:r w:rsidRPr="00D65525">
        <w:rPr>
          <w:color w:val="0E101A"/>
        </w:rPr>
        <w:t>This research aims to evaluate the relationship between cognitive reserve, neuropsychological variables, and episodic memory in healthy adults after this. This rationale clarifies how personal characteristics moderate the effectiveness of tDCS in future emerging theory-driven cognitive enhancement interventions.</w:t>
      </w:r>
    </w:p>
    <w:p w:rsidR="00EA27C5" w:rsidRPr="00D65525" w:rsidRDefault="00EA27C5" w:rsidP="00D65525">
      <w:pPr>
        <w:pStyle w:val="NormalWeb"/>
        <w:spacing w:before="0" w:beforeAutospacing="0" w:after="0" w:afterAutospacing="0" w:line="360" w:lineRule="auto"/>
        <w:jc w:val="both"/>
        <w:rPr>
          <w:color w:val="0E101A"/>
        </w:rPr>
      </w:pPr>
    </w:p>
    <w:p w:rsidR="00EA27C5" w:rsidRPr="00D65525" w:rsidRDefault="00EA27C5" w:rsidP="00C111EB">
      <w:pPr>
        <w:pStyle w:val="Heading1"/>
      </w:pPr>
      <w:bookmarkStart w:id="1" w:name="_Toc182871792"/>
      <w:r w:rsidRPr="00D65525">
        <w:lastRenderedPageBreak/>
        <w:t>Method</w:t>
      </w:r>
      <w:bookmarkEnd w:id="1"/>
    </w:p>
    <w:p w:rsidR="00EA27C5" w:rsidRPr="00D65525" w:rsidRDefault="00EA27C5" w:rsidP="00C111EB">
      <w:pPr>
        <w:pStyle w:val="Heading2"/>
      </w:pPr>
      <w:bookmarkStart w:id="2" w:name="_Toc182871793"/>
      <w:r w:rsidRPr="00D65525">
        <w:t>Design</w:t>
      </w:r>
      <w:bookmarkEnd w:id="2"/>
    </w:p>
    <w:p w:rsidR="00EA27C5" w:rsidRPr="00D65525" w:rsidRDefault="00EA27C5" w:rsidP="00D65525">
      <w:pPr>
        <w:pStyle w:val="NormalWeb"/>
        <w:spacing w:before="0" w:beforeAutospacing="0" w:after="0" w:afterAutospacing="0" w:line="360" w:lineRule="auto"/>
        <w:jc w:val="both"/>
        <w:rPr>
          <w:color w:val="0E101A"/>
        </w:rPr>
      </w:pPr>
      <w:r w:rsidRPr="00D65525">
        <w:rPr>
          <w:color w:val="0E101A"/>
        </w:rPr>
        <w:t>The present quantitative research used a between-subjects research design. The active tDCS condition was used as the independent variable, while the measure of episodic memory recall performance using a word list recall standardized task was the dependent variable. Patients were randomly allocated into two groups: active-tDCS and sham.</w:t>
      </w:r>
    </w:p>
    <w:p w:rsidR="00EA27C5" w:rsidRPr="00D65525" w:rsidRDefault="00EA27C5" w:rsidP="00C111EB">
      <w:pPr>
        <w:pStyle w:val="Heading2"/>
      </w:pPr>
      <w:bookmarkStart w:id="3" w:name="_Toc182871794"/>
      <w:r w:rsidRPr="00D65525">
        <w:t>Participants</w:t>
      </w:r>
      <w:bookmarkEnd w:id="3"/>
    </w:p>
    <w:p w:rsidR="00EA27C5" w:rsidRPr="00D65525" w:rsidRDefault="00EA27C5" w:rsidP="00D65525">
      <w:pPr>
        <w:pStyle w:val="NormalWeb"/>
        <w:spacing w:before="0" w:beforeAutospacing="0" w:after="0" w:afterAutospacing="0" w:line="360" w:lineRule="auto"/>
        <w:jc w:val="both"/>
        <w:rPr>
          <w:color w:val="0E101A"/>
        </w:rPr>
      </w:pPr>
      <w:r w:rsidRPr="00D65525">
        <w:rPr>
          <w:color w:val="0E101A"/>
        </w:rPr>
        <w:t xml:space="preserve">Participants were selected to produce a sample of sixty healthy men and women aged between 25 and 50. Exclusion criteria were neurological and psychiatric disorders and coexisting contraindications for tDCS. Low, medium, and high </w:t>
      </w:r>
      <w:proofErr w:type="spellStart"/>
      <w:r w:rsidRPr="00D65525">
        <w:rPr>
          <w:color w:val="0E101A"/>
        </w:rPr>
        <w:t>CRIq</w:t>
      </w:r>
      <w:proofErr w:type="spellEnd"/>
      <w:r w:rsidRPr="00D65525">
        <w:rPr>
          <w:color w:val="0E101A"/>
        </w:rPr>
        <w:t xml:space="preserve"> were created to assess the cognitive reserve levels, whereby the low level is L=1-30, medium M= 31-60, and high H=61-90.</w:t>
      </w:r>
    </w:p>
    <w:p w:rsidR="00EA27C5" w:rsidRPr="00D65525" w:rsidRDefault="00EA27C5" w:rsidP="00D65525">
      <w:pPr>
        <w:pStyle w:val="NormalWeb"/>
        <w:spacing w:before="0" w:beforeAutospacing="0" w:after="0" w:afterAutospacing="0" w:line="360" w:lineRule="auto"/>
        <w:jc w:val="both"/>
        <w:rPr>
          <w:color w:val="0E101A"/>
        </w:rPr>
      </w:pPr>
      <w:r w:rsidRPr="00D65525">
        <w:rPr>
          <w:color w:val="0E101A"/>
        </w:rPr>
        <w:t>Materials</w:t>
      </w:r>
    </w:p>
    <w:p w:rsidR="00EA27C5" w:rsidRPr="00D65525" w:rsidRDefault="00EA27C5" w:rsidP="00C111EB">
      <w:pPr>
        <w:pStyle w:val="Heading2"/>
      </w:pPr>
      <w:bookmarkStart w:id="4" w:name="_Toc182871795"/>
      <w:r w:rsidRPr="00D65525">
        <w:t>The study utilized:</w:t>
      </w:r>
      <w:bookmarkEnd w:id="4"/>
    </w:p>
    <w:p w:rsidR="00EA27C5" w:rsidRPr="00D65525" w:rsidRDefault="00EA27C5" w:rsidP="00D65525">
      <w:pPr>
        <w:pStyle w:val="NormalWeb"/>
        <w:spacing w:before="0" w:beforeAutospacing="0" w:after="0" w:afterAutospacing="0" w:line="360" w:lineRule="auto"/>
        <w:jc w:val="both"/>
        <w:rPr>
          <w:color w:val="0E101A"/>
        </w:rPr>
      </w:pPr>
      <w:r w:rsidRPr="00D65525">
        <w:rPr>
          <w:color w:val="0E101A"/>
        </w:rPr>
        <w:t>Cognitive Reserve Index Questionnaire (</w:t>
      </w:r>
      <w:proofErr w:type="spellStart"/>
      <w:r w:rsidRPr="00D65525">
        <w:rPr>
          <w:color w:val="0E101A"/>
        </w:rPr>
        <w:t>CRIq</w:t>
      </w:r>
      <w:proofErr w:type="spellEnd"/>
      <w:r w:rsidRPr="00D65525">
        <w:rPr>
          <w:color w:val="0E101A"/>
        </w:rPr>
        <w:t>): To model and estimate cognitive reserve about education, work, and leisure activities (</w:t>
      </w:r>
      <w:proofErr w:type="spellStart"/>
      <w:r w:rsidRPr="00D65525">
        <w:rPr>
          <w:color w:val="0E101A"/>
        </w:rPr>
        <w:t>Nucci</w:t>
      </w:r>
      <w:proofErr w:type="spellEnd"/>
      <w:r w:rsidRPr="00D65525">
        <w:rPr>
          <w:color w:val="0E101A"/>
        </w:rPr>
        <w:t xml:space="preserve"> et al., 2012).</w:t>
      </w:r>
    </w:p>
    <w:p w:rsidR="00EA27C5" w:rsidRPr="00D65525" w:rsidRDefault="00EA27C5" w:rsidP="00D65525">
      <w:pPr>
        <w:pStyle w:val="NormalWeb"/>
        <w:spacing w:before="0" w:beforeAutospacing="0" w:after="0" w:afterAutospacing="0" w:line="360" w:lineRule="auto"/>
        <w:jc w:val="both"/>
        <w:rPr>
          <w:color w:val="0E101A"/>
        </w:rPr>
      </w:pPr>
      <w:r w:rsidRPr="00D65525">
        <w:rPr>
          <w:rStyle w:val="Strong"/>
          <w:color w:val="0E101A"/>
        </w:rPr>
        <w:t>Neuropsychological Predictors:</w:t>
      </w:r>
      <w:r w:rsidRPr="00D65525">
        <w:rPr>
          <w:color w:val="0E101A"/>
        </w:rPr>
        <w:t xml:space="preserve"> Baseline measures were working memory as measured by digit span-backward and attention as assessed using the </w:t>
      </w:r>
      <w:proofErr w:type="spellStart"/>
      <w:r w:rsidRPr="00D65525">
        <w:rPr>
          <w:color w:val="0E101A"/>
        </w:rPr>
        <w:t>Stroop</w:t>
      </w:r>
      <w:proofErr w:type="spellEnd"/>
      <w:r w:rsidRPr="00D65525">
        <w:rPr>
          <w:color w:val="0E101A"/>
        </w:rPr>
        <w:t xml:space="preserve"> test.</w:t>
      </w:r>
    </w:p>
    <w:p w:rsidR="00EA27C5" w:rsidRPr="00D65525" w:rsidRDefault="00EA27C5" w:rsidP="00D65525">
      <w:pPr>
        <w:pStyle w:val="NormalWeb"/>
        <w:spacing w:before="0" w:beforeAutospacing="0" w:after="0" w:afterAutospacing="0" w:line="360" w:lineRule="auto"/>
        <w:jc w:val="both"/>
        <w:rPr>
          <w:color w:val="0E101A"/>
        </w:rPr>
      </w:pPr>
      <w:r w:rsidRPr="00D65525">
        <w:rPr>
          <w:rStyle w:val="Strong"/>
          <w:color w:val="0E101A"/>
        </w:rPr>
        <w:t>Episodic Memory Task:</w:t>
      </w:r>
      <w:r w:rsidRPr="00D65525">
        <w:rPr>
          <w:color w:val="0E101A"/>
        </w:rPr>
        <w:t xml:space="preserve"> Memory function was evaluated by a word-list recall test of 15 words and three repetitions.</w:t>
      </w:r>
    </w:p>
    <w:p w:rsidR="00EA27C5" w:rsidRPr="00D65525" w:rsidRDefault="00EA27C5" w:rsidP="00C111EB">
      <w:pPr>
        <w:pStyle w:val="Heading2"/>
      </w:pPr>
      <w:bookmarkStart w:id="5" w:name="_Toc182871796"/>
      <w:r w:rsidRPr="00D65525">
        <w:t>Procedure</w:t>
      </w:r>
      <w:bookmarkEnd w:id="5"/>
    </w:p>
    <w:p w:rsidR="00EA27C5" w:rsidRDefault="00EA27C5" w:rsidP="00D65525">
      <w:pPr>
        <w:pStyle w:val="NormalWeb"/>
        <w:spacing w:before="0" w:beforeAutospacing="0" w:after="0" w:afterAutospacing="0" w:line="360" w:lineRule="auto"/>
        <w:jc w:val="both"/>
        <w:rPr>
          <w:color w:val="0E101A"/>
        </w:rPr>
      </w:pPr>
      <w:r w:rsidRPr="00D65525">
        <w:rPr>
          <w:color w:val="0E101A"/>
        </w:rPr>
        <w:t xml:space="preserve">The baseline assessment of neuropsychological function was done, which included </w:t>
      </w:r>
      <w:proofErr w:type="spellStart"/>
      <w:r w:rsidRPr="00D65525">
        <w:rPr>
          <w:color w:val="0E101A"/>
        </w:rPr>
        <w:t>CRIq</w:t>
      </w:r>
      <w:proofErr w:type="spellEnd"/>
      <w:r w:rsidRPr="00D65525">
        <w:rPr>
          <w:color w:val="0E101A"/>
        </w:rPr>
        <w:t xml:space="preserve">, Digit Span, and </w:t>
      </w:r>
      <w:proofErr w:type="spellStart"/>
      <w:r w:rsidRPr="00D65525">
        <w:rPr>
          <w:color w:val="0E101A"/>
        </w:rPr>
        <w:t>Stroop</w:t>
      </w:r>
      <w:proofErr w:type="spellEnd"/>
      <w:r w:rsidRPr="00D65525">
        <w:rPr>
          <w:color w:val="0E101A"/>
        </w:rPr>
        <w:t xml:space="preserve"> test. They were thus randomly assigned to the active or sham tDCS group. The active tDCS received 20 minutes of stimulation (2 mA) to the left DLPFC site, and the sham group had the same montage without the current. Episodic memory was then measured using the subjects' word-list recall task after tDCS exposure. To reduce bias, all participants were kept unaware of their tDCS condition </w:t>
      </w:r>
      <w:proofErr w:type="gramStart"/>
      <w:r w:rsidRPr="00D65525">
        <w:rPr>
          <w:color w:val="0E101A"/>
        </w:rPr>
        <w:t>Throughout</w:t>
      </w:r>
      <w:proofErr w:type="gramEnd"/>
      <w:r w:rsidRPr="00D65525">
        <w:rPr>
          <w:color w:val="0E101A"/>
        </w:rPr>
        <w:t xml:space="preserve"> the study. The whole of the learning session took approximately ninety minutes.</w:t>
      </w:r>
    </w:p>
    <w:p w:rsidR="00A74611" w:rsidRDefault="00A74611" w:rsidP="00D65525">
      <w:pPr>
        <w:pStyle w:val="NormalWeb"/>
        <w:spacing w:before="0" w:beforeAutospacing="0" w:after="0" w:afterAutospacing="0" w:line="360" w:lineRule="auto"/>
        <w:jc w:val="both"/>
        <w:rPr>
          <w:color w:val="0E101A"/>
        </w:rPr>
      </w:pPr>
    </w:p>
    <w:p w:rsidR="00A74611" w:rsidRDefault="00A74611" w:rsidP="00D65525">
      <w:pPr>
        <w:pStyle w:val="NormalWeb"/>
        <w:spacing w:before="0" w:beforeAutospacing="0" w:after="0" w:afterAutospacing="0" w:line="360" w:lineRule="auto"/>
        <w:jc w:val="both"/>
        <w:rPr>
          <w:color w:val="0E101A"/>
        </w:rPr>
      </w:pPr>
    </w:p>
    <w:p w:rsidR="003D34FE" w:rsidRDefault="003D34FE" w:rsidP="00D65525">
      <w:pPr>
        <w:pStyle w:val="NormalWeb"/>
        <w:spacing w:before="0" w:beforeAutospacing="0" w:after="0" w:afterAutospacing="0" w:line="360" w:lineRule="auto"/>
        <w:jc w:val="both"/>
        <w:rPr>
          <w:color w:val="0E101A"/>
        </w:rPr>
      </w:pPr>
    </w:p>
    <w:p w:rsidR="003D34FE" w:rsidRDefault="003D34FE" w:rsidP="00D65525">
      <w:pPr>
        <w:pStyle w:val="NormalWeb"/>
        <w:spacing w:before="0" w:beforeAutospacing="0" w:after="0" w:afterAutospacing="0" w:line="360" w:lineRule="auto"/>
        <w:jc w:val="both"/>
        <w:rPr>
          <w:color w:val="0E101A"/>
        </w:rPr>
      </w:pPr>
    </w:p>
    <w:p w:rsidR="00A74611" w:rsidRPr="00D65525" w:rsidRDefault="003D34FE" w:rsidP="00C111EB">
      <w:pPr>
        <w:pStyle w:val="Heading1"/>
      </w:pPr>
      <w:bookmarkStart w:id="6" w:name="_Toc182871797"/>
      <w:r>
        <w:lastRenderedPageBreak/>
        <w:t>Results</w:t>
      </w:r>
      <w:bookmarkEnd w:id="6"/>
      <w:r>
        <w:t xml:space="preserve"> </w:t>
      </w:r>
    </w:p>
    <w:p w:rsidR="00EA27C5" w:rsidRDefault="003D34FE" w:rsidP="00C111EB">
      <w:pPr>
        <w:pStyle w:val="Heading2"/>
      </w:pPr>
      <w:bookmarkStart w:id="7" w:name="_Toc182871798"/>
      <w:r>
        <w:t>Demographic Analysis</w:t>
      </w:r>
      <w:bookmarkEnd w:id="7"/>
      <w:r>
        <w:t xml:space="preserve"> </w:t>
      </w:r>
    </w:p>
    <w:p w:rsidR="00ED4539" w:rsidRPr="00ED4539" w:rsidRDefault="00ED4539" w:rsidP="00C111EB">
      <w:pPr>
        <w:pStyle w:val="Heading2"/>
        <w:rPr>
          <w:sz w:val="36"/>
          <w:szCs w:val="24"/>
        </w:rPr>
      </w:pPr>
      <w:bookmarkStart w:id="8" w:name="_Toc182871799"/>
      <w:r w:rsidRPr="00ED4539">
        <w:t>Table 1 G</w:t>
      </w:r>
      <w:r w:rsidR="0009005B">
        <w:t>ender</w:t>
      </w:r>
      <w:bookmarkEnd w:id="8"/>
    </w:p>
    <w:p w:rsidR="003D34FE" w:rsidRPr="00D65525" w:rsidRDefault="00D23174" w:rsidP="00D23174">
      <w:pPr>
        <w:spacing w:line="360" w:lineRule="auto"/>
        <w:jc w:val="center"/>
        <w:rPr>
          <w:rFonts w:ascii="Times New Roman" w:hAnsi="Times New Roman" w:cs="Times New Roman"/>
          <w:b/>
          <w:sz w:val="24"/>
          <w:szCs w:val="24"/>
        </w:rPr>
      </w:pPr>
      <w:r>
        <w:rPr>
          <w:noProof/>
          <w:lang w:val="en-US" w:eastAsia="en-US"/>
        </w:rPr>
        <w:drawing>
          <wp:inline distT="0" distB="0" distL="0" distR="0" wp14:anchorId="1D19B33F" wp14:editId="1EFFB05A">
            <wp:extent cx="4905375" cy="1238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05375" cy="1238250"/>
                    </a:xfrm>
                    <a:prstGeom prst="rect">
                      <a:avLst/>
                    </a:prstGeom>
                  </pic:spPr>
                </pic:pic>
              </a:graphicData>
            </a:graphic>
          </wp:inline>
        </w:drawing>
      </w:r>
    </w:p>
    <w:p w:rsidR="00EA27C5" w:rsidRDefault="00E0337D" w:rsidP="00D65525">
      <w:pPr>
        <w:spacing w:line="360" w:lineRule="auto"/>
        <w:jc w:val="both"/>
        <w:rPr>
          <w:rFonts w:ascii="Times New Roman" w:hAnsi="Times New Roman" w:cs="Times New Roman"/>
          <w:sz w:val="24"/>
          <w:szCs w:val="24"/>
        </w:rPr>
      </w:pPr>
      <w:r w:rsidRPr="00E0337D">
        <w:rPr>
          <w:rFonts w:ascii="Times New Roman" w:hAnsi="Times New Roman" w:cs="Times New Roman"/>
          <w:sz w:val="24"/>
          <w:szCs w:val="24"/>
        </w:rPr>
        <w:t>The response distribution by gender shows nearly balanced participant groups, with 49% males and 51% females. Such a balance indicates that gender is not controlled, and therefore, the sample set can represent a larger population. This total percentage is equal to 100%, so all participants' gender identities leave no gaps in the dataset.</w:t>
      </w:r>
    </w:p>
    <w:p w:rsidR="003D34FE" w:rsidRDefault="00AD2C32" w:rsidP="00AD2C32">
      <w:pPr>
        <w:spacing w:line="360" w:lineRule="auto"/>
        <w:jc w:val="center"/>
        <w:rPr>
          <w:rFonts w:ascii="Times New Roman" w:hAnsi="Times New Roman" w:cs="Times New Roman"/>
          <w:sz w:val="24"/>
          <w:szCs w:val="24"/>
        </w:rPr>
      </w:pPr>
      <w:r>
        <w:rPr>
          <w:noProof/>
          <w:lang w:val="en-US" w:eastAsia="en-US"/>
        </w:rPr>
        <w:drawing>
          <wp:inline distT="0" distB="0" distL="0" distR="0" wp14:anchorId="2A7EA76B" wp14:editId="34BD9E80">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D4539" w:rsidRDefault="00ED4539" w:rsidP="00AD2C32">
      <w:pPr>
        <w:spacing w:line="360" w:lineRule="auto"/>
        <w:jc w:val="center"/>
        <w:rPr>
          <w:rFonts w:ascii="Times New Roman" w:hAnsi="Times New Roman" w:cs="Times New Roman"/>
          <w:sz w:val="24"/>
          <w:szCs w:val="24"/>
        </w:rPr>
      </w:pPr>
    </w:p>
    <w:p w:rsidR="00ED4539" w:rsidRDefault="00ED4539" w:rsidP="00AD2C32">
      <w:pPr>
        <w:spacing w:line="360" w:lineRule="auto"/>
        <w:jc w:val="center"/>
        <w:rPr>
          <w:rFonts w:ascii="Times New Roman" w:hAnsi="Times New Roman" w:cs="Times New Roman"/>
          <w:sz w:val="24"/>
          <w:szCs w:val="24"/>
        </w:rPr>
      </w:pPr>
    </w:p>
    <w:p w:rsidR="00ED4539" w:rsidRDefault="00ED4539" w:rsidP="00AD2C32">
      <w:pPr>
        <w:spacing w:line="360" w:lineRule="auto"/>
        <w:jc w:val="center"/>
        <w:rPr>
          <w:rFonts w:ascii="Times New Roman" w:hAnsi="Times New Roman" w:cs="Times New Roman"/>
          <w:sz w:val="24"/>
          <w:szCs w:val="24"/>
        </w:rPr>
      </w:pPr>
    </w:p>
    <w:p w:rsidR="00ED4539" w:rsidRDefault="00ED4539" w:rsidP="00AD2C32">
      <w:pPr>
        <w:spacing w:line="360" w:lineRule="auto"/>
        <w:jc w:val="center"/>
        <w:rPr>
          <w:rFonts w:ascii="Times New Roman" w:hAnsi="Times New Roman" w:cs="Times New Roman"/>
          <w:sz w:val="24"/>
          <w:szCs w:val="24"/>
        </w:rPr>
      </w:pPr>
    </w:p>
    <w:p w:rsidR="00ED4539" w:rsidRDefault="00ED4539" w:rsidP="00AD2C32">
      <w:pPr>
        <w:spacing w:line="360" w:lineRule="auto"/>
        <w:jc w:val="center"/>
        <w:rPr>
          <w:rFonts w:ascii="Times New Roman" w:hAnsi="Times New Roman" w:cs="Times New Roman"/>
          <w:sz w:val="24"/>
          <w:szCs w:val="24"/>
        </w:rPr>
      </w:pPr>
    </w:p>
    <w:p w:rsidR="00ED4539" w:rsidRDefault="00ED4539" w:rsidP="00AD2C32">
      <w:pPr>
        <w:spacing w:line="360" w:lineRule="auto"/>
        <w:jc w:val="center"/>
        <w:rPr>
          <w:rFonts w:ascii="Times New Roman" w:hAnsi="Times New Roman" w:cs="Times New Roman"/>
          <w:sz w:val="24"/>
          <w:szCs w:val="24"/>
        </w:rPr>
      </w:pPr>
    </w:p>
    <w:p w:rsidR="00D23174" w:rsidRDefault="00D23174" w:rsidP="00AD2C32">
      <w:pPr>
        <w:spacing w:line="360" w:lineRule="auto"/>
        <w:jc w:val="center"/>
        <w:rPr>
          <w:rFonts w:ascii="Times New Roman" w:hAnsi="Times New Roman" w:cs="Times New Roman"/>
          <w:sz w:val="24"/>
          <w:szCs w:val="24"/>
        </w:rPr>
      </w:pPr>
    </w:p>
    <w:p w:rsidR="00ED4539" w:rsidRDefault="00ED4539" w:rsidP="00AD2C32">
      <w:pPr>
        <w:spacing w:line="360" w:lineRule="auto"/>
        <w:jc w:val="center"/>
        <w:rPr>
          <w:rFonts w:ascii="Times New Roman" w:hAnsi="Times New Roman" w:cs="Times New Roman"/>
          <w:sz w:val="24"/>
          <w:szCs w:val="24"/>
        </w:rPr>
      </w:pPr>
    </w:p>
    <w:p w:rsidR="00ED4539" w:rsidRPr="00ED4539" w:rsidRDefault="00ED4539" w:rsidP="00C111EB">
      <w:pPr>
        <w:pStyle w:val="Heading2"/>
        <w:rPr>
          <w:sz w:val="36"/>
          <w:szCs w:val="24"/>
        </w:rPr>
      </w:pPr>
      <w:bookmarkStart w:id="9" w:name="_Toc182871800"/>
      <w:r w:rsidRPr="00ED4539">
        <w:lastRenderedPageBreak/>
        <w:t>T</w:t>
      </w:r>
      <w:r>
        <w:t>able</w:t>
      </w:r>
      <w:r w:rsidRPr="00ED4539">
        <w:t xml:space="preserve"> 2 A</w:t>
      </w:r>
      <w:r w:rsidR="0009005B">
        <w:t>ge Group</w:t>
      </w:r>
      <w:bookmarkEnd w:id="9"/>
    </w:p>
    <w:p w:rsidR="00ED4539" w:rsidRDefault="00725CCF" w:rsidP="00AD2C32">
      <w:pPr>
        <w:spacing w:line="360" w:lineRule="auto"/>
        <w:jc w:val="center"/>
        <w:rPr>
          <w:rFonts w:ascii="Times New Roman" w:hAnsi="Times New Roman" w:cs="Times New Roman"/>
          <w:sz w:val="24"/>
          <w:szCs w:val="24"/>
        </w:rPr>
      </w:pPr>
      <w:r>
        <w:rPr>
          <w:noProof/>
          <w:lang w:val="en-US" w:eastAsia="en-US"/>
        </w:rPr>
        <w:drawing>
          <wp:inline distT="0" distB="0" distL="0" distR="0" wp14:anchorId="490A5CA4" wp14:editId="2D90ECAD">
            <wp:extent cx="5200650" cy="222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00650" cy="2228850"/>
                    </a:xfrm>
                    <a:prstGeom prst="rect">
                      <a:avLst/>
                    </a:prstGeom>
                  </pic:spPr>
                </pic:pic>
              </a:graphicData>
            </a:graphic>
          </wp:inline>
        </w:drawing>
      </w:r>
    </w:p>
    <w:p w:rsidR="00AD2C32" w:rsidRDefault="00ED4539" w:rsidP="00ED4539">
      <w:pPr>
        <w:spacing w:line="360" w:lineRule="auto"/>
        <w:jc w:val="both"/>
        <w:rPr>
          <w:rFonts w:ascii="Times New Roman" w:hAnsi="Times New Roman" w:cs="Times New Roman"/>
          <w:sz w:val="24"/>
          <w:szCs w:val="24"/>
        </w:rPr>
      </w:pPr>
      <w:r w:rsidRPr="00ED4539">
        <w:rPr>
          <w:rFonts w:ascii="Times New Roman" w:hAnsi="Times New Roman" w:cs="Times New Roman"/>
          <w:sz w:val="24"/>
          <w:szCs w:val="24"/>
        </w:rPr>
        <w:t>The data is based on 100 participants and is divided into six age groups. The two largest age groups are 31-35 years, with 19% of the total participants and 36-40 years, with 19% of the sample, meaning that most participants are in the middle career stage. The youngest group (18–25 years) is involved in the proportion of 18%, while the oldest group (46+ years) is involved in the proportion of 17%. Other age distributions are middle-aged 41 – 45 years 15 % and 26 – 30 years 12%. Altogether, 68 per cent of participants are in the 18–40-year age group, which can be attributed to the target groups’ young age, while 32 per cent of participants are 41 years and older. The distribution appears to be relatively fair; the picture in terms of the age of participants appears to be well-represented in this sample.</w:t>
      </w:r>
    </w:p>
    <w:p w:rsidR="00995A3C" w:rsidRDefault="00892D33" w:rsidP="00892D33">
      <w:pPr>
        <w:spacing w:line="360" w:lineRule="auto"/>
        <w:jc w:val="center"/>
        <w:rPr>
          <w:rFonts w:ascii="Times New Roman" w:hAnsi="Times New Roman" w:cs="Times New Roman"/>
          <w:sz w:val="24"/>
          <w:szCs w:val="24"/>
        </w:rPr>
      </w:pPr>
      <w:r>
        <w:rPr>
          <w:noProof/>
          <w:lang w:val="en-US" w:eastAsia="en-US"/>
        </w:rPr>
        <w:drawing>
          <wp:inline distT="0" distB="0" distL="0" distR="0" wp14:anchorId="582AE0DD" wp14:editId="4E9315D0">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22A1E" w:rsidRDefault="00122A1E" w:rsidP="00892D33">
      <w:pPr>
        <w:spacing w:line="360" w:lineRule="auto"/>
        <w:jc w:val="center"/>
        <w:rPr>
          <w:rFonts w:ascii="Times New Roman" w:hAnsi="Times New Roman" w:cs="Times New Roman"/>
          <w:sz w:val="24"/>
          <w:szCs w:val="24"/>
        </w:rPr>
      </w:pPr>
    </w:p>
    <w:p w:rsidR="00C111EB" w:rsidRDefault="00C111EB" w:rsidP="00892D33">
      <w:pPr>
        <w:spacing w:line="360" w:lineRule="auto"/>
        <w:jc w:val="center"/>
        <w:rPr>
          <w:rFonts w:ascii="Times New Roman" w:hAnsi="Times New Roman" w:cs="Times New Roman"/>
          <w:sz w:val="24"/>
          <w:szCs w:val="24"/>
        </w:rPr>
      </w:pPr>
    </w:p>
    <w:p w:rsidR="00122A1E" w:rsidRDefault="000B3533" w:rsidP="00C111EB">
      <w:pPr>
        <w:pStyle w:val="Heading2"/>
      </w:pPr>
      <w:bookmarkStart w:id="10" w:name="_Toc182871801"/>
      <w:r>
        <w:lastRenderedPageBreak/>
        <w:t>Reliability Analysis</w:t>
      </w:r>
      <w:bookmarkEnd w:id="10"/>
    </w:p>
    <w:p w:rsidR="000B3533" w:rsidRDefault="0009005B" w:rsidP="00C111EB">
      <w:pPr>
        <w:pStyle w:val="Heading2"/>
      </w:pPr>
      <w:bookmarkStart w:id="11" w:name="_Toc182871802"/>
      <w:r>
        <w:t>T</w:t>
      </w:r>
      <w:r w:rsidR="0016268B">
        <w:t>able</w:t>
      </w:r>
      <w:r>
        <w:t xml:space="preserve"> 3 Reliability</w:t>
      </w:r>
      <w:bookmarkEnd w:id="11"/>
      <w:r>
        <w:t xml:space="preserve"> </w:t>
      </w:r>
    </w:p>
    <w:p w:rsidR="000B3533" w:rsidRDefault="00725CCF" w:rsidP="00725CCF">
      <w:pPr>
        <w:spacing w:line="360" w:lineRule="auto"/>
        <w:jc w:val="center"/>
        <w:rPr>
          <w:rFonts w:ascii="Times New Roman" w:hAnsi="Times New Roman" w:cs="Times New Roman"/>
          <w:sz w:val="24"/>
          <w:szCs w:val="24"/>
        </w:rPr>
      </w:pPr>
      <w:r>
        <w:rPr>
          <w:noProof/>
          <w:lang w:val="en-US" w:eastAsia="en-US"/>
        </w:rPr>
        <w:drawing>
          <wp:inline distT="0" distB="0" distL="0" distR="0" wp14:anchorId="57CE5992" wp14:editId="224F2456">
            <wp:extent cx="4838700" cy="1333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38700" cy="1333500"/>
                    </a:xfrm>
                    <a:prstGeom prst="rect">
                      <a:avLst/>
                    </a:prstGeom>
                  </pic:spPr>
                </pic:pic>
              </a:graphicData>
            </a:graphic>
          </wp:inline>
        </w:drawing>
      </w:r>
    </w:p>
    <w:p w:rsidR="00122A1E" w:rsidRDefault="0009005B" w:rsidP="0009005B">
      <w:pPr>
        <w:spacing w:line="360" w:lineRule="auto"/>
        <w:jc w:val="both"/>
        <w:rPr>
          <w:rFonts w:ascii="Times New Roman" w:hAnsi="Times New Roman" w:cs="Times New Roman"/>
          <w:sz w:val="24"/>
          <w:szCs w:val="24"/>
        </w:rPr>
      </w:pPr>
      <w:r w:rsidRPr="0009005B">
        <w:rPr>
          <w:rFonts w:ascii="Times New Roman" w:hAnsi="Times New Roman" w:cs="Times New Roman"/>
          <w:sz w:val="24"/>
          <w:szCs w:val="24"/>
        </w:rPr>
        <w:t>The reliability analysis results show that the variables measured in the study have reasonable internal consistency. The results of Cronbach's Alpha test for Neuropsychological Performance were 0.869, tDCS Condition was 0.853, and Episodic Memory Recall Performance was 0.705, which makes it highly reliable. As we presented, all the variables have 5 items, which is quite a satisfactory level of internal consistency of the respective scales.</w:t>
      </w:r>
    </w:p>
    <w:p w:rsidR="0009005B" w:rsidRDefault="0009005B" w:rsidP="0009005B">
      <w:pPr>
        <w:spacing w:line="360" w:lineRule="auto"/>
        <w:jc w:val="both"/>
        <w:rPr>
          <w:rFonts w:ascii="Times New Roman" w:hAnsi="Times New Roman" w:cs="Times New Roman"/>
          <w:sz w:val="24"/>
          <w:szCs w:val="24"/>
        </w:rPr>
      </w:pPr>
    </w:p>
    <w:p w:rsidR="0009005B" w:rsidRDefault="0009005B" w:rsidP="00C111EB">
      <w:pPr>
        <w:pStyle w:val="Heading2"/>
      </w:pPr>
      <w:bookmarkStart w:id="12" w:name="_Toc182871803"/>
      <w:r>
        <w:t>Multiple Regression Analysis</w:t>
      </w:r>
      <w:bookmarkEnd w:id="12"/>
    </w:p>
    <w:p w:rsidR="0009005B" w:rsidRDefault="0009005B" w:rsidP="00C111EB">
      <w:pPr>
        <w:pStyle w:val="Heading2"/>
      </w:pPr>
      <w:bookmarkStart w:id="13" w:name="_Toc182871804"/>
      <w:r>
        <w:t>Table 4 Model Summary</w:t>
      </w:r>
      <w:bookmarkEnd w:id="13"/>
    </w:p>
    <w:p w:rsidR="0009005B" w:rsidRDefault="00695134" w:rsidP="00695134">
      <w:pPr>
        <w:spacing w:line="360" w:lineRule="auto"/>
        <w:jc w:val="center"/>
        <w:rPr>
          <w:rFonts w:ascii="Times New Roman" w:hAnsi="Times New Roman" w:cs="Times New Roman"/>
          <w:sz w:val="24"/>
          <w:szCs w:val="24"/>
        </w:rPr>
      </w:pPr>
      <w:r>
        <w:rPr>
          <w:noProof/>
          <w:lang w:val="en-US" w:eastAsia="en-US"/>
        </w:rPr>
        <w:drawing>
          <wp:inline distT="0" distB="0" distL="0" distR="0" wp14:anchorId="2B4FBCA1" wp14:editId="14B51C9A">
            <wp:extent cx="3248025" cy="1190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48025" cy="1190625"/>
                    </a:xfrm>
                    <a:prstGeom prst="rect">
                      <a:avLst/>
                    </a:prstGeom>
                  </pic:spPr>
                </pic:pic>
              </a:graphicData>
            </a:graphic>
          </wp:inline>
        </w:drawing>
      </w:r>
    </w:p>
    <w:p w:rsidR="003D346B" w:rsidRDefault="003D346B" w:rsidP="0009005B">
      <w:pPr>
        <w:spacing w:line="360" w:lineRule="auto"/>
        <w:jc w:val="both"/>
        <w:rPr>
          <w:rFonts w:ascii="Times New Roman" w:hAnsi="Times New Roman" w:cs="Times New Roman"/>
          <w:sz w:val="24"/>
          <w:szCs w:val="24"/>
        </w:rPr>
      </w:pPr>
      <w:r w:rsidRPr="003D346B">
        <w:rPr>
          <w:rFonts w:ascii="Times New Roman" w:hAnsi="Times New Roman" w:cs="Times New Roman"/>
          <w:sz w:val="24"/>
          <w:szCs w:val="24"/>
        </w:rPr>
        <w:t>The analysis shows that the model fits the independent and dependent variables well through a correlation coefficient (R) of 0.887, which is close to 1 and, therefore, linear. The obtained R Square of 0.788 indicates that about 78.8% of the total variability in the dependent variable is predictable from the selected independent variables. The statistical significance established by the model is the adjusted R square, which is equal to 0.783; the number of predictors that affect the robustness of the model was considered, and it was used to eliminate irrelevant variables. The coefficient of standard error estimation (1.58523) refers to the average discrepancy between the actual and the predicted values, which measures the extent of prediction error.</w:t>
      </w:r>
    </w:p>
    <w:p w:rsidR="00A26C06" w:rsidRDefault="00A26C06" w:rsidP="0009005B">
      <w:pPr>
        <w:spacing w:line="360" w:lineRule="auto"/>
        <w:jc w:val="both"/>
        <w:rPr>
          <w:rFonts w:ascii="Times New Roman" w:hAnsi="Times New Roman" w:cs="Times New Roman"/>
          <w:sz w:val="24"/>
          <w:szCs w:val="24"/>
        </w:rPr>
      </w:pPr>
    </w:p>
    <w:p w:rsidR="00A26C06" w:rsidRDefault="00A26C06" w:rsidP="0009005B">
      <w:pPr>
        <w:spacing w:line="360" w:lineRule="auto"/>
        <w:jc w:val="both"/>
        <w:rPr>
          <w:rFonts w:ascii="Times New Roman" w:hAnsi="Times New Roman" w:cs="Times New Roman"/>
          <w:sz w:val="24"/>
          <w:szCs w:val="24"/>
        </w:rPr>
      </w:pPr>
    </w:p>
    <w:p w:rsidR="00710C7B" w:rsidRDefault="00710C7B" w:rsidP="0009005B">
      <w:pPr>
        <w:spacing w:line="360" w:lineRule="auto"/>
        <w:jc w:val="both"/>
        <w:rPr>
          <w:rFonts w:ascii="Times New Roman" w:hAnsi="Times New Roman" w:cs="Times New Roman"/>
          <w:sz w:val="24"/>
          <w:szCs w:val="24"/>
        </w:rPr>
      </w:pPr>
    </w:p>
    <w:p w:rsidR="00710C7B" w:rsidRDefault="00710C7B" w:rsidP="00C111EB">
      <w:pPr>
        <w:pStyle w:val="Heading2"/>
      </w:pPr>
      <w:bookmarkStart w:id="14" w:name="_Toc182871805"/>
      <w:r>
        <w:lastRenderedPageBreak/>
        <w:t>Table ANOVAa</w:t>
      </w:r>
      <w:bookmarkEnd w:id="14"/>
    </w:p>
    <w:p w:rsidR="00710C7B" w:rsidRDefault="00695134" w:rsidP="00695134">
      <w:pPr>
        <w:spacing w:line="360" w:lineRule="auto"/>
        <w:jc w:val="center"/>
        <w:rPr>
          <w:rFonts w:ascii="Times New Roman" w:hAnsi="Times New Roman" w:cs="Times New Roman"/>
          <w:sz w:val="24"/>
          <w:szCs w:val="24"/>
        </w:rPr>
      </w:pPr>
      <w:r>
        <w:rPr>
          <w:noProof/>
          <w:lang w:val="en-US" w:eastAsia="en-US"/>
        </w:rPr>
        <w:drawing>
          <wp:inline distT="0" distB="0" distL="0" distR="0" wp14:anchorId="5F8DB279" wp14:editId="7F6D73DF">
            <wp:extent cx="4438650" cy="1609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38650" cy="1609725"/>
                    </a:xfrm>
                    <a:prstGeom prst="rect">
                      <a:avLst/>
                    </a:prstGeom>
                  </pic:spPr>
                </pic:pic>
              </a:graphicData>
            </a:graphic>
          </wp:inline>
        </w:drawing>
      </w:r>
    </w:p>
    <w:p w:rsidR="00A26C06" w:rsidRPr="00A26C06" w:rsidRDefault="00A26C06" w:rsidP="00A26C06">
      <w:pPr>
        <w:spacing w:line="360" w:lineRule="auto"/>
        <w:jc w:val="both"/>
        <w:rPr>
          <w:rFonts w:ascii="Times New Roman" w:hAnsi="Times New Roman" w:cs="Times New Roman"/>
          <w:sz w:val="24"/>
          <w:szCs w:val="24"/>
        </w:rPr>
      </w:pPr>
      <w:r w:rsidRPr="00A26C06">
        <w:rPr>
          <w:rFonts w:ascii="Times New Roman" w:hAnsi="Times New Roman" w:cs="Times New Roman"/>
          <w:sz w:val="24"/>
          <w:szCs w:val="24"/>
        </w:rPr>
        <w:t xml:space="preserve">Based on the results from the ANOVA table, one finds a remarkable connection between the independent and dependent variables. Regression SS= 903.563 represents the total variation in the dependent variable explained by the model. Also, the residual sum of squares of 243.757 means the variation that cannot be explained with the remaining 97 </w:t>
      </w:r>
      <w:proofErr w:type="gramStart"/>
      <w:r w:rsidRPr="00A26C06">
        <w:rPr>
          <w:rFonts w:ascii="Times New Roman" w:hAnsi="Times New Roman" w:cs="Times New Roman"/>
          <w:sz w:val="24"/>
          <w:szCs w:val="24"/>
        </w:rPr>
        <w:t>df</w:t>
      </w:r>
      <w:proofErr w:type="gramEnd"/>
      <w:r w:rsidRPr="00A26C06">
        <w:rPr>
          <w:rFonts w:ascii="Times New Roman" w:hAnsi="Times New Roman" w:cs="Times New Roman"/>
          <w:sz w:val="24"/>
          <w:szCs w:val="24"/>
        </w:rPr>
        <w:t xml:space="preserve"> for the error term.</w:t>
      </w:r>
    </w:p>
    <w:p w:rsidR="00A26C06" w:rsidRPr="00A26C06" w:rsidRDefault="00A26C06" w:rsidP="00A26C06">
      <w:pPr>
        <w:spacing w:line="360" w:lineRule="auto"/>
        <w:jc w:val="both"/>
        <w:rPr>
          <w:rFonts w:ascii="Times New Roman" w:hAnsi="Times New Roman" w:cs="Times New Roman"/>
          <w:sz w:val="24"/>
          <w:szCs w:val="24"/>
        </w:rPr>
      </w:pPr>
      <w:r w:rsidRPr="00A26C06">
        <w:rPr>
          <w:rFonts w:ascii="Times New Roman" w:hAnsi="Times New Roman" w:cs="Times New Roman"/>
          <w:sz w:val="24"/>
          <w:szCs w:val="24"/>
        </w:rPr>
        <w:t xml:space="preserve">The Mean Square values for regression (451.781) and residual (2.513) are obtained by division of the Means of respective Sums of squares by their respective </w:t>
      </w:r>
      <w:proofErr w:type="gramStart"/>
      <w:r>
        <w:rPr>
          <w:rFonts w:ascii="Times New Roman" w:hAnsi="Times New Roman" w:cs="Times New Roman"/>
          <w:sz w:val="24"/>
          <w:szCs w:val="24"/>
        </w:rPr>
        <w:t>df</w:t>
      </w:r>
      <w:proofErr w:type="gramEnd"/>
      <w:r w:rsidRPr="00A26C06">
        <w:rPr>
          <w:rFonts w:ascii="Times New Roman" w:hAnsi="Times New Roman" w:cs="Times New Roman"/>
          <w:sz w:val="24"/>
          <w:szCs w:val="24"/>
        </w:rPr>
        <w:t>. The F-statistic is 179.78, indicating a high value and a very high degree of adjusted explanation of the dependent variable.</w:t>
      </w:r>
    </w:p>
    <w:p w:rsidR="00A26C06" w:rsidRDefault="00A26C06" w:rsidP="00A26C06">
      <w:pPr>
        <w:spacing w:line="360" w:lineRule="auto"/>
        <w:jc w:val="both"/>
        <w:rPr>
          <w:rFonts w:ascii="Times New Roman" w:hAnsi="Times New Roman" w:cs="Times New Roman"/>
          <w:sz w:val="24"/>
          <w:szCs w:val="24"/>
        </w:rPr>
      </w:pPr>
      <w:r w:rsidRPr="00A26C06">
        <w:rPr>
          <w:rFonts w:ascii="Times New Roman" w:hAnsi="Times New Roman" w:cs="Times New Roman"/>
          <w:sz w:val="24"/>
          <w:szCs w:val="24"/>
        </w:rPr>
        <w:t>This is below the accepted significance level of 0.05, making the model significant with the independent variables explaining the dependent variable at p= 0.000.</w:t>
      </w:r>
    </w:p>
    <w:p w:rsidR="00841310" w:rsidRDefault="00841310" w:rsidP="00A26C06">
      <w:pPr>
        <w:spacing w:line="360" w:lineRule="auto"/>
        <w:jc w:val="both"/>
        <w:rPr>
          <w:rFonts w:ascii="Times New Roman" w:hAnsi="Times New Roman" w:cs="Times New Roman"/>
          <w:sz w:val="24"/>
          <w:szCs w:val="24"/>
        </w:rPr>
      </w:pPr>
    </w:p>
    <w:p w:rsidR="00841310" w:rsidRDefault="00C111EB" w:rsidP="00C111EB">
      <w:pPr>
        <w:pStyle w:val="Heading1"/>
      </w:pPr>
      <w:bookmarkStart w:id="15" w:name="_Toc182871806"/>
      <w:r>
        <w:t>Discussion</w:t>
      </w:r>
      <w:bookmarkEnd w:id="15"/>
    </w:p>
    <w:p w:rsidR="00695134" w:rsidRPr="00695134" w:rsidRDefault="00695134" w:rsidP="00695134">
      <w:pPr>
        <w:spacing w:line="360" w:lineRule="auto"/>
        <w:jc w:val="both"/>
        <w:rPr>
          <w:rFonts w:ascii="Times New Roman" w:hAnsi="Times New Roman" w:cs="Times New Roman"/>
          <w:sz w:val="24"/>
          <w:szCs w:val="24"/>
        </w:rPr>
      </w:pPr>
      <w:r w:rsidRPr="00695134">
        <w:rPr>
          <w:rFonts w:ascii="Times New Roman" w:hAnsi="Times New Roman" w:cs="Times New Roman"/>
          <w:sz w:val="24"/>
          <w:szCs w:val="24"/>
        </w:rPr>
        <w:t>This paper sought to compare the effects of transracial direct current stimulation on cognitive reserve and episodic memory in healthy adults who differed in neuropsychological parameters. The results of the current study indicate that both CR and specific neuropsychological predictors play a particular role in episodic memory after tDCS.</w:t>
      </w:r>
    </w:p>
    <w:p w:rsidR="00695134" w:rsidRPr="00695134" w:rsidRDefault="00695134" w:rsidP="00695134">
      <w:pPr>
        <w:spacing w:line="360" w:lineRule="auto"/>
        <w:jc w:val="both"/>
        <w:rPr>
          <w:rFonts w:ascii="Times New Roman" w:hAnsi="Times New Roman" w:cs="Times New Roman"/>
          <w:sz w:val="24"/>
          <w:szCs w:val="24"/>
        </w:rPr>
      </w:pPr>
      <w:r>
        <w:rPr>
          <w:rFonts w:ascii="Times New Roman" w:hAnsi="Times New Roman" w:cs="Times New Roman"/>
          <w:sz w:val="24"/>
          <w:szCs w:val="24"/>
        </w:rPr>
        <w:t>This study</w:t>
      </w:r>
      <w:r w:rsidRPr="00695134">
        <w:rPr>
          <w:rFonts w:ascii="Times New Roman" w:hAnsi="Times New Roman" w:cs="Times New Roman"/>
          <w:sz w:val="24"/>
          <w:szCs w:val="24"/>
        </w:rPr>
        <w:t xml:space="preserve"> confirmed that cognitive reserve and baseline neuropsychological performance are independent predictors of episodic memory recall among the patients. Patients with higher cognitive reserve, maintained by the </w:t>
      </w:r>
      <w:proofErr w:type="spellStart"/>
      <w:r w:rsidRPr="00695134">
        <w:rPr>
          <w:rFonts w:ascii="Times New Roman" w:hAnsi="Times New Roman" w:cs="Times New Roman"/>
          <w:sz w:val="24"/>
          <w:szCs w:val="24"/>
        </w:rPr>
        <w:t>CRIq</w:t>
      </w:r>
      <w:proofErr w:type="spellEnd"/>
      <w:r w:rsidRPr="00695134">
        <w:rPr>
          <w:rFonts w:ascii="Times New Roman" w:hAnsi="Times New Roman" w:cs="Times New Roman"/>
          <w:sz w:val="24"/>
          <w:szCs w:val="24"/>
        </w:rPr>
        <w:t xml:space="preserve"> cognition index, displayed better memorizing ability, thus confirming previous findings about the beneficial effects of cognitive reserve on cognitive stability and better memory (Stern, 2002; </w:t>
      </w:r>
      <w:proofErr w:type="spellStart"/>
      <w:r w:rsidRPr="00695134">
        <w:rPr>
          <w:rFonts w:ascii="Times New Roman" w:hAnsi="Times New Roman" w:cs="Times New Roman"/>
          <w:sz w:val="24"/>
          <w:szCs w:val="24"/>
        </w:rPr>
        <w:t>Sandrini</w:t>
      </w:r>
      <w:proofErr w:type="spellEnd"/>
      <w:r w:rsidRPr="00695134">
        <w:rPr>
          <w:rFonts w:ascii="Times New Roman" w:hAnsi="Times New Roman" w:cs="Times New Roman"/>
          <w:sz w:val="24"/>
          <w:szCs w:val="24"/>
        </w:rPr>
        <w:t xml:space="preserve"> et al., 2019).</w:t>
      </w:r>
    </w:p>
    <w:p w:rsidR="00695134" w:rsidRPr="00695134" w:rsidRDefault="00695134" w:rsidP="00695134">
      <w:pPr>
        <w:spacing w:line="360" w:lineRule="auto"/>
        <w:jc w:val="both"/>
        <w:rPr>
          <w:rFonts w:ascii="Times New Roman" w:hAnsi="Times New Roman" w:cs="Times New Roman"/>
          <w:sz w:val="24"/>
          <w:szCs w:val="24"/>
        </w:rPr>
      </w:pPr>
      <w:r w:rsidRPr="00695134">
        <w:rPr>
          <w:rFonts w:ascii="Times New Roman" w:hAnsi="Times New Roman" w:cs="Times New Roman"/>
          <w:sz w:val="24"/>
          <w:szCs w:val="24"/>
        </w:rPr>
        <w:t xml:space="preserve">Such findings could be explained by the fact that people with higher CR possess cognitively more robust neural connections and synapses that tDCS can selectively improve. This is consistent with Kim et al. (2020), who said that the cognitive reserve played a mediatory role in </w:t>
      </w:r>
      <w:r w:rsidRPr="00695134">
        <w:rPr>
          <w:rFonts w:ascii="Times New Roman" w:hAnsi="Times New Roman" w:cs="Times New Roman"/>
          <w:sz w:val="24"/>
          <w:szCs w:val="24"/>
        </w:rPr>
        <w:lastRenderedPageBreak/>
        <w:t xml:space="preserve">the impact of tDCS on memory function. The other possibility is that, due to a higher level of working memory and attention at baseline, the subjects can gain more benefits from tDCS, as noted by </w:t>
      </w:r>
      <w:proofErr w:type="spellStart"/>
      <w:r w:rsidRPr="00695134">
        <w:rPr>
          <w:rFonts w:ascii="Times New Roman" w:hAnsi="Times New Roman" w:cs="Times New Roman"/>
          <w:sz w:val="24"/>
          <w:szCs w:val="24"/>
        </w:rPr>
        <w:t>Berryhill</w:t>
      </w:r>
      <w:proofErr w:type="spellEnd"/>
      <w:r w:rsidRPr="00695134">
        <w:rPr>
          <w:rFonts w:ascii="Times New Roman" w:hAnsi="Times New Roman" w:cs="Times New Roman"/>
          <w:sz w:val="24"/>
          <w:szCs w:val="24"/>
        </w:rPr>
        <w:t xml:space="preserve"> and Jones (2020).</w:t>
      </w:r>
    </w:p>
    <w:p w:rsidR="00695134" w:rsidRPr="00695134" w:rsidRDefault="00695134" w:rsidP="00695134">
      <w:pPr>
        <w:spacing w:line="360" w:lineRule="auto"/>
        <w:jc w:val="both"/>
        <w:rPr>
          <w:rFonts w:ascii="Times New Roman" w:hAnsi="Times New Roman" w:cs="Times New Roman"/>
          <w:sz w:val="24"/>
          <w:szCs w:val="24"/>
        </w:rPr>
      </w:pPr>
      <w:r w:rsidRPr="00695134">
        <w:rPr>
          <w:rFonts w:ascii="Times New Roman" w:hAnsi="Times New Roman" w:cs="Times New Roman"/>
          <w:sz w:val="24"/>
          <w:szCs w:val="24"/>
        </w:rPr>
        <w:t>The correlation that can be drawn between the results of the current analysis and previous studies strengthens the general psychological understanding of cognitive reserve and neuronal plasticity. For example, the cognitive reserve hypothesis is that people with high CR can use spare brain networks or cognitive strategies, which would attempt to compensate for the brain changes, to explain their improved performance post-TDCS (Stern, 2002). Our findings are inconsistent with some works that did not establish any correlation between cognitive reserve and tDCS results; such discrepancy may be due to the variability in approaches to investigating and manipulating cognitive reserve, participants' characteristics, or tDCS procedures.</w:t>
      </w:r>
    </w:p>
    <w:p w:rsidR="00695134" w:rsidRPr="00695134" w:rsidRDefault="00695134" w:rsidP="00695134">
      <w:pPr>
        <w:spacing w:line="360" w:lineRule="auto"/>
        <w:jc w:val="both"/>
        <w:rPr>
          <w:rFonts w:ascii="Times New Roman" w:hAnsi="Times New Roman" w:cs="Times New Roman"/>
          <w:sz w:val="24"/>
          <w:szCs w:val="24"/>
        </w:rPr>
      </w:pPr>
      <w:r w:rsidRPr="00695134">
        <w:rPr>
          <w:rFonts w:ascii="Times New Roman" w:hAnsi="Times New Roman" w:cs="Times New Roman"/>
          <w:sz w:val="24"/>
          <w:szCs w:val="24"/>
        </w:rPr>
        <w:t>Our study has several limitations; the study population was a relatively small group of high school students so that the results may be generalized only sometimes. Furthermore, the between-subjects design possibly fails to control variability in the effects of tDCS intervention across participants.</w:t>
      </w:r>
    </w:p>
    <w:p w:rsidR="00695134" w:rsidRPr="00695134" w:rsidRDefault="00695134" w:rsidP="00695134">
      <w:pPr>
        <w:spacing w:line="360" w:lineRule="auto"/>
        <w:jc w:val="both"/>
        <w:rPr>
          <w:rFonts w:ascii="Times New Roman" w:hAnsi="Times New Roman" w:cs="Times New Roman"/>
          <w:sz w:val="24"/>
          <w:szCs w:val="24"/>
        </w:rPr>
      </w:pPr>
      <w:r w:rsidRPr="00695134">
        <w:rPr>
          <w:rFonts w:ascii="Times New Roman" w:hAnsi="Times New Roman" w:cs="Times New Roman"/>
          <w:sz w:val="24"/>
          <w:szCs w:val="24"/>
        </w:rPr>
        <w:t>Further studies should generalize these observations on broader and more heterogeneous populations and other aspects that may explain tDCS success, including genetic characteristics or lifestyles. Further, it is additionally essential to research the benefits of tDCS on episodic memory, and longitudinal studies can supplement it.</w:t>
      </w:r>
    </w:p>
    <w:p w:rsidR="00695134" w:rsidRPr="00695134" w:rsidRDefault="00695134" w:rsidP="00695134">
      <w:pPr>
        <w:spacing w:line="360" w:lineRule="auto"/>
        <w:jc w:val="both"/>
        <w:rPr>
          <w:rFonts w:ascii="Times New Roman" w:hAnsi="Times New Roman" w:cs="Times New Roman"/>
          <w:sz w:val="24"/>
          <w:szCs w:val="24"/>
        </w:rPr>
      </w:pPr>
      <w:r w:rsidRPr="00695134">
        <w:rPr>
          <w:rFonts w:ascii="Times New Roman" w:hAnsi="Times New Roman" w:cs="Times New Roman"/>
          <w:sz w:val="24"/>
          <w:szCs w:val="24"/>
        </w:rPr>
        <w:t>Other variables, including sleep quality, stress, and exercise, could also explain variations in memory recall on the third day. All these factors have been found to affect cognitive performance and, hence, should be considered in other studies.</w:t>
      </w:r>
    </w:p>
    <w:p w:rsidR="00695134" w:rsidRPr="00695134" w:rsidRDefault="00695134" w:rsidP="00695134">
      <w:pPr>
        <w:spacing w:line="360" w:lineRule="auto"/>
        <w:jc w:val="both"/>
        <w:rPr>
          <w:rFonts w:ascii="Times New Roman" w:hAnsi="Times New Roman" w:cs="Times New Roman"/>
          <w:sz w:val="24"/>
          <w:szCs w:val="24"/>
        </w:rPr>
      </w:pPr>
      <w:r w:rsidRPr="00695134">
        <w:rPr>
          <w:rFonts w:ascii="Times New Roman" w:hAnsi="Times New Roman" w:cs="Times New Roman"/>
          <w:sz w:val="24"/>
          <w:szCs w:val="24"/>
        </w:rPr>
        <w:t>The applications of this study are vast; this is because, apart from drawing conclusions supporting the existing view that education and engaging in mentally stimulating exercises benefits memory and cognition in general, especially for older people, this research showed that it is possible to identify the aspects of one's past cognitive activities that have endowed the brain with the ability to cope with specific cognitive demands. These results may help design prevention and treatment strategies involving cognitive deterioration in clinical and community contexts.</w:t>
      </w:r>
    </w:p>
    <w:p w:rsidR="00695134" w:rsidRPr="00695134" w:rsidRDefault="00695134" w:rsidP="00695134">
      <w:pPr>
        <w:spacing w:line="360" w:lineRule="auto"/>
        <w:jc w:val="both"/>
        <w:rPr>
          <w:rFonts w:ascii="Times New Roman" w:hAnsi="Times New Roman" w:cs="Times New Roman"/>
          <w:sz w:val="24"/>
          <w:szCs w:val="24"/>
        </w:rPr>
      </w:pPr>
    </w:p>
    <w:p w:rsidR="00695134" w:rsidRDefault="00695134" w:rsidP="00695134">
      <w:pPr>
        <w:spacing w:line="360" w:lineRule="auto"/>
        <w:jc w:val="both"/>
        <w:rPr>
          <w:rFonts w:ascii="Times New Roman" w:hAnsi="Times New Roman" w:cs="Times New Roman"/>
          <w:sz w:val="24"/>
          <w:szCs w:val="24"/>
        </w:rPr>
      </w:pPr>
      <w:r w:rsidRPr="00695134">
        <w:rPr>
          <w:rFonts w:ascii="Times New Roman" w:hAnsi="Times New Roman" w:cs="Times New Roman"/>
          <w:sz w:val="24"/>
          <w:szCs w:val="24"/>
        </w:rPr>
        <w:lastRenderedPageBreak/>
        <w:t>Our findings suggest that cognitive reserve and subsequent neuropsychological predictors may influence the impact of tDCS on episodic memory. It is up to future research to further refine these relations and design subsequent cognitive enhancement interventions.</w:t>
      </w:r>
    </w:p>
    <w:p w:rsidR="00695134" w:rsidRDefault="00695134" w:rsidP="00A26C06">
      <w:pPr>
        <w:spacing w:line="360" w:lineRule="auto"/>
        <w:jc w:val="both"/>
        <w:rPr>
          <w:rFonts w:ascii="Times New Roman" w:hAnsi="Times New Roman" w:cs="Times New Roman"/>
          <w:sz w:val="24"/>
          <w:szCs w:val="24"/>
        </w:rPr>
      </w:pPr>
    </w:p>
    <w:p w:rsidR="00695134" w:rsidRDefault="00695134" w:rsidP="00A26C06">
      <w:pPr>
        <w:spacing w:line="360" w:lineRule="auto"/>
        <w:jc w:val="both"/>
        <w:rPr>
          <w:rFonts w:ascii="Times New Roman" w:hAnsi="Times New Roman" w:cs="Times New Roman"/>
          <w:sz w:val="24"/>
          <w:szCs w:val="24"/>
        </w:rPr>
      </w:pPr>
    </w:p>
    <w:p w:rsidR="00695134" w:rsidRDefault="00695134" w:rsidP="00A26C06">
      <w:pPr>
        <w:spacing w:line="360" w:lineRule="auto"/>
        <w:jc w:val="both"/>
        <w:rPr>
          <w:rFonts w:ascii="Times New Roman" w:hAnsi="Times New Roman" w:cs="Times New Roman"/>
          <w:sz w:val="24"/>
          <w:szCs w:val="24"/>
        </w:rPr>
      </w:pPr>
    </w:p>
    <w:p w:rsidR="00695134" w:rsidRDefault="00695134" w:rsidP="00A26C06">
      <w:pPr>
        <w:spacing w:line="360" w:lineRule="auto"/>
        <w:jc w:val="both"/>
        <w:rPr>
          <w:rFonts w:ascii="Times New Roman" w:hAnsi="Times New Roman" w:cs="Times New Roman"/>
          <w:sz w:val="24"/>
          <w:szCs w:val="24"/>
        </w:rPr>
      </w:pPr>
    </w:p>
    <w:p w:rsidR="00695134" w:rsidRDefault="00695134" w:rsidP="00A26C06">
      <w:pPr>
        <w:spacing w:line="360" w:lineRule="auto"/>
        <w:jc w:val="both"/>
        <w:rPr>
          <w:rFonts w:ascii="Times New Roman" w:hAnsi="Times New Roman" w:cs="Times New Roman"/>
          <w:sz w:val="24"/>
          <w:szCs w:val="24"/>
        </w:rPr>
      </w:pPr>
    </w:p>
    <w:p w:rsidR="00841310" w:rsidRDefault="00841310" w:rsidP="00A26C06">
      <w:pPr>
        <w:spacing w:line="360" w:lineRule="auto"/>
        <w:jc w:val="both"/>
        <w:rPr>
          <w:rFonts w:ascii="Times New Roman" w:hAnsi="Times New Roman" w:cs="Times New Roman"/>
          <w:sz w:val="24"/>
          <w:szCs w:val="24"/>
        </w:rPr>
      </w:pPr>
    </w:p>
    <w:p w:rsidR="00841310" w:rsidRDefault="00841310" w:rsidP="00A26C06">
      <w:pPr>
        <w:spacing w:line="360" w:lineRule="auto"/>
        <w:jc w:val="both"/>
        <w:rPr>
          <w:rFonts w:ascii="Times New Roman" w:hAnsi="Times New Roman" w:cs="Times New Roman"/>
          <w:sz w:val="24"/>
          <w:szCs w:val="24"/>
        </w:rPr>
      </w:pPr>
    </w:p>
    <w:p w:rsidR="00AE713F" w:rsidRDefault="00AE713F" w:rsidP="00A26C06">
      <w:pPr>
        <w:spacing w:line="360" w:lineRule="auto"/>
        <w:jc w:val="both"/>
        <w:rPr>
          <w:rFonts w:ascii="Times New Roman" w:hAnsi="Times New Roman" w:cs="Times New Roman"/>
          <w:sz w:val="24"/>
          <w:szCs w:val="24"/>
        </w:rPr>
      </w:pPr>
    </w:p>
    <w:p w:rsidR="00AE713F" w:rsidRDefault="00AE713F" w:rsidP="00A26C06">
      <w:pPr>
        <w:spacing w:line="360" w:lineRule="auto"/>
        <w:jc w:val="both"/>
        <w:rPr>
          <w:rFonts w:ascii="Times New Roman" w:hAnsi="Times New Roman" w:cs="Times New Roman"/>
          <w:sz w:val="24"/>
          <w:szCs w:val="24"/>
        </w:rPr>
      </w:pPr>
    </w:p>
    <w:p w:rsidR="00AE713F" w:rsidRDefault="00AE713F" w:rsidP="00A26C06">
      <w:pPr>
        <w:spacing w:line="360" w:lineRule="auto"/>
        <w:jc w:val="both"/>
        <w:rPr>
          <w:rFonts w:ascii="Times New Roman" w:hAnsi="Times New Roman" w:cs="Times New Roman"/>
          <w:sz w:val="24"/>
          <w:szCs w:val="24"/>
        </w:rPr>
      </w:pPr>
    </w:p>
    <w:p w:rsidR="00AE713F" w:rsidRDefault="00AE713F" w:rsidP="00A26C06">
      <w:pPr>
        <w:spacing w:line="360" w:lineRule="auto"/>
        <w:jc w:val="both"/>
        <w:rPr>
          <w:rFonts w:ascii="Times New Roman" w:hAnsi="Times New Roman" w:cs="Times New Roman"/>
          <w:sz w:val="24"/>
          <w:szCs w:val="24"/>
        </w:rPr>
      </w:pPr>
    </w:p>
    <w:p w:rsidR="00AE713F" w:rsidRDefault="00AE713F" w:rsidP="00A26C06">
      <w:pPr>
        <w:spacing w:line="360" w:lineRule="auto"/>
        <w:jc w:val="both"/>
        <w:rPr>
          <w:rFonts w:ascii="Times New Roman" w:hAnsi="Times New Roman" w:cs="Times New Roman"/>
          <w:sz w:val="24"/>
          <w:szCs w:val="24"/>
        </w:rPr>
      </w:pPr>
    </w:p>
    <w:p w:rsidR="00AE713F" w:rsidRDefault="00AE713F" w:rsidP="00A26C06">
      <w:pPr>
        <w:spacing w:line="360" w:lineRule="auto"/>
        <w:jc w:val="both"/>
        <w:rPr>
          <w:rFonts w:ascii="Times New Roman" w:hAnsi="Times New Roman" w:cs="Times New Roman"/>
          <w:sz w:val="24"/>
          <w:szCs w:val="24"/>
        </w:rPr>
      </w:pPr>
    </w:p>
    <w:p w:rsidR="00AE713F" w:rsidRDefault="00AE713F" w:rsidP="00A26C06">
      <w:pPr>
        <w:spacing w:line="360" w:lineRule="auto"/>
        <w:jc w:val="both"/>
        <w:rPr>
          <w:rFonts w:ascii="Times New Roman" w:hAnsi="Times New Roman" w:cs="Times New Roman"/>
          <w:sz w:val="24"/>
          <w:szCs w:val="24"/>
        </w:rPr>
      </w:pPr>
    </w:p>
    <w:p w:rsidR="00AE713F" w:rsidRDefault="00AE713F" w:rsidP="00A26C06">
      <w:pPr>
        <w:spacing w:line="360" w:lineRule="auto"/>
        <w:jc w:val="both"/>
        <w:rPr>
          <w:rFonts w:ascii="Times New Roman" w:hAnsi="Times New Roman" w:cs="Times New Roman"/>
          <w:sz w:val="24"/>
          <w:szCs w:val="24"/>
        </w:rPr>
      </w:pPr>
    </w:p>
    <w:p w:rsidR="00AE713F" w:rsidRDefault="00AE713F" w:rsidP="00A26C06">
      <w:pPr>
        <w:spacing w:line="360" w:lineRule="auto"/>
        <w:jc w:val="both"/>
        <w:rPr>
          <w:rFonts w:ascii="Times New Roman" w:hAnsi="Times New Roman" w:cs="Times New Roman"/>
          <w:sz w:val="24"/>
          <w:szCs w:val="24"/>
        </w:rPr>
      </w:pPr>
    </w:p>
    <w:p w:rsidR="00AE713F" w:rsidRDefault="00AE713F" w:rsidP="00A26C06">
      <w:pPr>
        <w:spacing w:line="360" w:lineRule="auto"/>
        <w:jc w:val="both"/>
        <w:rPr>
          <w:rFonts w:ascii="Times New Roman" w:hAnsi="Times New Roman" w:cs="Times New Roman"/>
          <w:sz w:val="24"/>
          <w:szCs w:val="24"/>
        </w:rPr>
      </w:pPr>
    </w:p>
    <w:p w:rsidR="00AE713F" w:rsidRDefault="00AE713F" w:rsidP="00A26C06">
      <w:pPr>
        <w:spacing w:line="360" w:lineRule="auto"/>
        <w:jc w:val="both"/>
        <w:rPr>
          <w:rFonts w:ascii="Times New Roman" w:hAnsi="Times New Roman" w:cs="Times New Roman"/>
          <w:sz w:val="24"/>
          <w:szCs w:val="24"/>
        </w:rPr>
      </w:pPr>
    </w:p>
    <w:p w:rsidR="00AE713F" w:rsidRDefault="00AE713F" w:rsidP="00A26C06">
      <w:pPr>
        <w:spacing w:line="360" w:lineRule="auto"/>
        <w:jc w:val="both"/>
        <w:rPr>
          <w:rFonts w:ascii="Times New Roman" w:hAnsi="Times New Roman" w:cs="Times New Roman"/>
          <w:sz w:val="24"/>
          <w:szCs w:val="24"/>
        </w:rPr>
      </w:pPr>
    </w:p>
    <w:p w:rsidR="00AE713F" w:rsidRDefault="00AE713F" w:rsidP="00A26C06">
      <w:pPr>
        <w:spacing w:line="360" w:lineRule="auto"/>
        <w:jc w:val="both"/>
        <w:rPr>
          <w:rFonts w:ascii="Times New Roman" w:hAnsi="Times New Roman" w:cs="Times New Roman"/>
          <w:sz w:val="24"/>
          <w:szCs w:val="24"/>
        </w:rPr>
      </w:pPr>
    </w:p>
    <w:p w:rsidR="00AE713F" w:rsidRDefault="00AE713F" w:rsidP="00A26C06">
      <w:pPr>
        <w:spacing w:line="360" w:lineRule="auto"/>
        <w:jc w:val="both"/>
        <w:rPr>
          <w:rFonts w:ascii="Times New Roman" w:hAnsi="Times New Roman" w:cs="Times New Roman"/>
          <w:sz w:val="24"/>
          <w:szCs w:val="24"/>
        </w:rPr>
      </w:pPr>
    </w:p>
    <w:p w:rsidR="00AE713F" w:rsidRDefault="00AE713F" w:rsidP="00A26C06">
      <w:pPr>
        <w:spacing w:line="360" w:lineRule="auto"/>
        <w:jc w:val="both"/>
        <w:rPr>
          <w:rFonts w:ascii="Times New Roman" w:hAnsi="Times New Roman" w:cs="Times New Roman"/>
          <w:sz w:val="24"/>
          <w:szCs w:val="24"/>
        </w:rPr>
      </w:pPr>
    </w:p>
    <w:p w:rsidR="00AE713F" w:rsidRDefault="00AE713F" w:rsidP="00A26C06">
      <w:pPr>
        <w:spacing w:line="360" w:lineRule="auto"/>
        <w:jc w:val="both"/>
        <w:rPr>
          <w:rFonts w:ascii="Times New Roman" w:hAnsi="Times New Roman" w:cs="Times New Roman"/>
          <w:sz w:val="24"/>
          <w:szCs w:val="24"/>
        </w:rPr>
      </w:pPr>
    </w:p>
    <w:p w:rsidR="00AE713F" w:rsidRDefault="00AE713F" w:rsidP="00A26C06">
      <w:pPr>
        <w:spacing w:line="360" w:lineRule="auto"/>
        <w:jc w:val="both"/>
        <w:rPr>
          <w:rFonts w:ascii="Times New Roman" w:hAnsi="Times New Roman" w:cs="Times New Roman"/>
          <w:sz w:val="24"/>
          <w:szCs w:val="24"/>
        </w:rPr>
      </w:pPr>
    </w:p>
    <w:p w:rsidR="00AE713F" w:rsidRDefault="00AE713F" w:rsidP="00A26C06">
      <w:pPr>
        <w:spacing w:line="360" w:lineRule="auto"/>
        <w:jc w:val="both"/>
        <w:rPr>
          <w:rFonts w:ascii="Times New Roman" w:hAnsi="Times New Roman" w:cs="Times New Roman"/>
          <w:sz w:val="24"/>
          <w:szCs w:val="24"/>
        </w:rPr>
      </w:pPr>
    </w:p>
    <w:p w:rsidR="00AE713F" w:rsidRDefault="00AE713F" w:rsidP="00A26C06">
      <w:pPr>
        <w:spacing w:line="360" w:lineRule="auto"/>
        <w:jc w:val="both"/>
        <w:rPr>
          <w:rFonts w:ascii="Times New Roman" w:hAnsi="Times New Roman" w:cs="Times New Roman"/>
          <w:sz w:val="24"/>
          <w:szCs w:val="24"/>
        </w:rPr>
      </w:pPr>
    </w:p>
    <w:p w:rsidR="00AE713F" w:rsidRDefault="00AE713F" w:rsidP="00A26C06">
      <w:pPr>
        <w:spacing w:line="360" w:lineRule="auto"/>
        <w:jc w:val="both"/>
        <w:rPr>
          <w:rFonts w:ascii="Times New Roman" w:hAnsi="Times New Roman" w:cs="Times New Roman"/>
          <w:sz w:val="24"/>
          <w:szCs w:val="24"/>
        </w:rPr>
      </w:pPr>
    </w:p>
    <w:p w:rsidR="00AE713F" w:rsidRDefault="00AE713F" w:rsidP="00A26C06">
      <w:pPr>
        <w:spacing w:line="360" w:lineRule="auto"/>
        <w:jc w:val="both"/>
        <w:rPr>
          <w:rFonts w:ascii="Times New Roman" w:hAnsi="Times New Roman" w:cs="Times New Roman"/>
          <w:sz w:val="24"/>
          <w:szCs w:val="24"/>
        </w:rPr>
      </w:pPr>
    </w:p>
    <w:p w:rsidR="00AE713F" w:rsidRDefault="00AE713F" w:rsidP="00AE713F">
      <w:pPr>
        <w:pStyle w:val="Heading1"/>
      </w:pPr>
      <w:bookmarkStart w:id="16" w:name="_Toc182871807"/>
      <w:r>
        <w:lastRenderedPageBreak/>
        <w:t>References</w:t>
      </w:r>
      <w:bookmarkEnd w:id="16"/>
    </w:p>
    <w:p w:rsidR="00AE713F" w:rsidRPr="00AE713F" w:rsidRDefault="00AE713F" w:rsidP="00AE713F">
      <w:pPr>
        <w:spacing w:before="100" w:beforeAutospacing="1" w:after="100" w:afterAutospacing="1" w:line="360" w:lineRule="auto"/>
        <w:ind w:left="720" w:hanging="630"/>
        <w:rPr>
          <w:rFonts w:ascii="Times New Roman" w:eastAsia="Times New Roman" w:hAnsi="Times New Roman" w:cs="Times New Roman"/>
          <w:sz w:val="24"/>
          <w:szCs w:val="24"/>
          <w:lang w:val="en-US" w:eastAsia="en-US"/>
        </w:rPr>
      </w:pPr>
      <w:proofErr w:type="spellStart"/>
      <w:proofErr w:type="gramStart"/>
      <w:r w:rsidRPr="00AE713F">
        <w:rPr>
          <w:rFonts w:ascii="Times New Roman" w:eastAsia="Times New Roman" w:hAnsi="Times New Roman" w:cs="Times New Roman"/>
          <w:sz w:val="24"/>
          <w:szCs w:val="24"/>
          <w:lang w:val="en-US" w:eastAsia="en-US"/>
        </w:rPr>
        <w:t>Berryhill</w:t>
      </w:r>
      <w:proofErr w:type="spellEnd"/>
      <w:r w:rsidRPr="00AE713F">
        <w:rPr>
          <w:rFonts w:ascii="Times New Roman" w:eastAsia="Times New Roman" w:hAnsi="Times New Roman" w:cs="Times New Roman"/>
          <w:sz w:val="24"/>
          <w:szCs w:val="24"/>
          <w:lang w:val="en-US" w:eastAsia="en-US"/>
        </w:rPr>
        <w:t>, M. E., &amp; Jones, K. T. (2020).</w:t>
      </w:r>
      <w:proofErr w:type="gramEnd"/>
      <w:r w:rsidRPr="00AE713F">
        <w:rPr>
          <w:rFonts w:ascii="Times New Roman" w:eastAsia="Times New Roman" w:hAnsi="Times New Roman" w:cs="Times New Roman"/>
          <w:sz w:val="24"/>
          <w:szCs w:val="24"/>
          <w:lang w:val="en-US" w:eastAsia="en-US"/>
        </w:rPr>
        <w:t xml:space="preserve"> </w:t>
      </w:r>
      <w:proofErr w:type="gramStart"/>
      <w:r w:rsidRPr="00AE713F">
        <w:rPr>
          <w:rFonts w:ascii="Times New Roman" w:eastAsia="Times New Roman" w:hAnsi="Times New Roman" w:cs="Times New Roman"/>
          <w:sz w:val="24"/>
          <w:szCs w:val="24"/>
          <w:lang w:val="en-US" w:eastAsia="en-US"/>
        </w:rPr>
        <w:t>tDCS</w:t>
      </w:r>
      <w:proofErr w:type="gramEnd"/>
      <w:r w:rsidRPr="00AE713F">
        <w:rPr>
          <w:rFonts w:ascii="Times New Roman" w:eastAsia="Times New Roman" w:hAnsi="Times New Roman" w:cs="Times New Roman"/>
          <w:sz w:val="24"/>
          <w:szCs w:val="24"/>
          <w:lang w:val="en-US" w:eastAsia="en-US"/>
        </w:rPr>
        <w:t xml:space="preserve"> selectively improves working memory in older adults with low baseline performance. </w:t>
      </w:r>
      <w:proofErr w:type="spellStart"/>
      <w:proofErr w:type="gramStart"/>
      <w:r w:rsidRPr="00AE713F">
        <w:rPr>
          <w:rFonts w:ascii="Times New Roman" w:eastAsia="Times New Roman" w:hAnsi="Times New Roman" w:cs="Times New Roman"/>
          <w:i/>
          <w:iCs/>
          <w:sz w:val="24"/>
          <w:szCs w:val="24"/>
          <w:lang w:val="en-US" w:eastAsia="en-US"/>
        </w:rPr>
        <w:t>Neuropsychologia</w:t>
      </w:r>
      <w:proofErr w:type="spellEnd"/>
      <w:r w:rsidRPr="00AE713F">
        <w:rPr>
          <w:rFonts w:ascii="Times New Roman" w:eastAsia="Times New Roman" w:hAnsi="Times New Roman" w:cs="Times New Roman"/>
          <w:i/>
          <w:iCs/>
          <w:sz w:val="24"/>
          <w:szCs w:val="24"/>
          <w:lang w:val="en-US" w:eastAsia="en-US"/>
        </w:rPr>
        <w:t>, 146,</w:t>
      </w:r>
      <w:r w:rsidRPr="00AE713F">
        <w:rPr>
          <w:rFonts w:ascii="Times New Roman" w:eastAsia="Times New Roman" w:hAnsi="Times New Roman" w:cs="Times New Roman"/>
          <w:sz w:val="24"/>
          <w:szCs w:val="24"/>
          <w:lang w:val="en-US" w:eastAsia="en-US"/>
        </w:rPr>
        <w:t xml:space="preserve"> 107545.</w:t>
      </w:r>
      <w:proofErr w:type="gramEnd"/>
    </w:p>
    <w:p w:rsidR="00AE713F" w:rsidRPr="00AE713F" w:rsidRDefault="00AE713F" w:rsidP="00AE713F">
      <w:pPr>
        <w:spacing w:before="100" w:beforeAutospacing="1" w:after="100" w:afterAutospacing="1" w:line="360" w:lineRule="auto"/>
        <w:ind w:left="720" w:hanging="630"/>
        <w:rPr>
          <w:rFonts w:ascii="Times New Roman" w:eastAsia="Times New Roman" w:hAnsi="Times New Roman" w:cs="Times New Roman"/>
          <w:sz w:val="24"/>
          <w:szCs w:val="24"/>
          <w:lang w:val="en-US" w:eastAsia="en-US"/>
        </w:rPr>
      </w:pPr>
      <w:proofErr w:type="gramStart"/>
      <w:r w:rsidRPr="00AE713F">
        <w:rPr>
          <w:rFonts w:ascii="Times New Roman" w:eastAsia="Times New Roman" w:hAnsi="Times New Roman" w:cs="Times New Roman"/>
          <w:sz w:val="24"/>
          <w:szCs w:val="24"/>
          <w:lang w:val="en-US" w:eastAsia="en-US"/>
        </w:rPr>
        <w:t>Kim, J., Lee, S. H., &amp; Park, H. (2020).</w:t>
      </w:r>
      <w:proofErr w:type="gramEnd"/>
      <w:r w:rsidRPr="00AE713F">
        <w:rPr>
          <w:rFonts w:ascii="Times New Roman" w:eastAsia="Times New Roman" w:hAnsi="Times New Roman" w:cs="Times New Roman"/>
          <w:sz w:val="24"/>
          <w:szCs w:val="24"/>
          <w:lang w:val="en-US" w:eastAsia="en-US"/>
        </w:rPr>
        <w:t xml:space="preserve"> </w:t>
      </w:r>
      <w:proofErr w:type="gramStart"/>
      <w:r w:rsidRPr="00AE713F">
        <w:rPr>
          <w:rFonts w:ascii="Times New Roman" w:eastAsia="Times New Roman" w:hAnsi="Times New Roman" w:cs="Times New Roman"/>
          <w:sz w:val="24"/>
          <w:szCs w:val="24"/>
          <w:lang w:val="en-US" w:eastAsia="en-US"/>
        </w:rPr>
        <w:t>Cognitive reserve and individual variability in tDCS-induced episodic memory enhancement.</w:t>
      </w:r>
      <w:proofErr w:type="gramEnd"/>
      <w:r w:rsidRPr="00AE713F">
        <w:rPr>
          <w:rFonts w:ascii="Times New Roman" w:eastAsia="Times New Roman" w:hAnsi="Times New Roman" w:cs="Times New Roman"/>
          <w:sz w:val="24"/>
          <w:szCs w:val="24"/>
          <w:lang w:val="en-US" w:eastAsia="en-US"/>
        </w:rPr>
        <w:t xml:space="preserve"> </w:t>
      </w:r>
      <w:proofErr w:type="gramStart"/>
      <w:r w:rsidRPr="00AE713F">
        <w:rPr>
          <w:rFonts w:ascii="Times New Roman" w:eastAsia="Times New Roman" w:hAnsi="Times New Roman" w:cs="Times New Roman"/>
          <w:i/>
          <w:iCs/>
          <w:sz w:val="24"/>
          <w:szCs w:val="24"/>
          <w:lang w:val="en-US" w:eastAsia="en-US"/>
        </w:rPr>
        <w:t>Frontiers in Neuroscience, 14,</w:t>
      </w:r>
      <w:r w:rsidRPr="00AE713F">
        <w:rPr>
          <w:rFonts w:ascii="Times New Roman" w:eastAsia="Times New Roman" w:hAnsi="Times New Roman" w:cs="Times New Roman"/>
          <w:sz w:val="24"/>
          <w:szCs w:val="24"/>
          <w:lang w:val="en-US" w:eastAsia="en-US"/>
        </w:rPr>
        <w:t xml:space="preserve"> 615.</w:t>
      </w:r>
      <w:proofErr w:type="gramEnd"/>
    </w:p>
    <w:p w:rsidR="00AE713F" w:rsidRPr="00AE713F" w:rsidRDefault="00AE713F" w:rsidP="00AE713F">
      <w:pPr>
        <w:spacing w:before="100" w:beforeAutospacing="1" w:after="100" w:afterAutospacing="1" w:line="360" w:lineRule="auto"/>
        <w:ind w:left="720" w:hanging="630"/>
        <w:rPr>
          <w:rFonts w:ascii="Times New Roman" w:eastAsia="Times New Roman" w:hAnsi="Times New Roman" w:cs="Times New Roman"/>
          <w:sz w:val="24"/>
          <w:szCs w:val="24"/>
          <w:lang w:val="en-US" w:eastAsia="en-US"/>
        </w:rPr>
      </w:pPr>
      <w:proofErr w:type="spellStart"/>
      <w:proofErr w:type="gramStart"/>
      <w:r w:rsidRPr="00AE713F">
        <w:rPr>
          <w:rFonts w:ascii="Times New Roman" w:eastAsia="Times New Roman" w:hAnsi="Times New Roman" w:cs="Times New Roman"/>
          <w:sz w:val="24"/>
          <w:szCs w:val="24"/>
          <w:lang w:val="en-US" w:eastAsia="en-US"/>
        </w:rPr>
        <w:t>Manenti</w:t>
      </w:r>
      <w:proofErr w:type="spellEnd"/>
      <w:r w:rsidRPr="00AE713F">
        <w:rPr>
          <w:rFonts w:ascii="Times New Roman" w:eastAsia="Times New Roman" w:hAnsi="Times New Roman" w:cs="Times New Roman"/>
          <w:sz w:val="24"/>
          <w:szCs w:val="24"/>
          <w:lang w:val="en-US" w:eastAsia="en-US"/>
        </w:rPr>
        <w:t xml:space="preserve">, R., </w:t>
      </w:r>
      <w:proofErr w:type="spellStart"/>
      <w:r w:rsidRPr="00AE713F">
        <w:rPr>
          <w:rFonts w:ascii="Times New Roman" w:eastAsia="Times New Roman" w:hAnsi="Times New Roman" w:cs="Times New Roman"/>
          <w:sz w:val="24"/>
          <w:szCs w:val="24"/>
          <w:lang w:val="en-US" w:eastAsia="en-US"/>
        </w:rPr>
        <w:t>Brambilla</w:t>
      </w:r>
      <w:proofErr w:type="spellEnd"/>
      <w:r w:rsidRPr="00AE713F">
        <w:rPr>
          <w:rFonts w:ascii="Times New Roman" w:eastAsia="Times New Roman" w:hAnsi="Times New Roman" w:cs="Times New Roman"/>
          <w:sz w:val="24"/>
          <w:szCs w:val="24"/>
          <w:lang w:val="en-US" w:eastAsia="en-US"/>
        </w:rPr>
        <w:t xml:space="preserve">, M., </w:t>
      </w:r>
      <w:proofErr w:type="spellStart"/>
      <w:r w:rsidRPr="00AE713F">
        <w:rPr>
          <w:rFonts w:ascii="Times New Roman" w:eastAsia="Times New Roman" w:hAnsi="Times New Roman" w:cs="Times New Roman"/>
          <w:sz w:val="24"/>
          <w:szCs w:val="24"/>
          <w:lang w:val="en-US" w:eastAsia="en-US"/>
        </w:rPr>
        <w:t>Petesi</w:t>
      </w:r>
      <w:proofErr w:type="spellEnd"/>
      <w:r w:rsidRPr="00AE713F">
        <w:rPr>
          <w:rFonts w:ascii="Times New Roman" w:eastAsia="Times New Roman" w:hAnsi="Times New Roman" w:cs="Times New Roman"/>
          <w:sz w:val="24"/>
          <w:szCs w:val="24"/>
          <w:lang w:val="en-US" w:eastAsia="en-US"/>
        </w:rPr>
        <w:t xml:space="preserve">, M., Ferrari, C., &amp; </w:t>
      </w:r>
      <w:proofErr w:type="spellStart"/>
      <w:r w:rsidRPr="00AE713F">
        <w:rPr>
          <w:rFonts w:ascii="Times New Roman" w:eastAsia="Times New Roman" w:hAnsi="Times New Roman" w:cs="Times New Roman"/>
          <w:sz w:val="24"/>
          <w:szCs w:val="24"/>
          <w:lang w:val="en-US" w:eastAsia="en-US"/>
        </w:rPr>
        <w:t>Cotelli</w:t>
      </w:r>
      <w:proofErr w:type="spellEnd"/>
      <w:r w:rsidRPr="00AE713F">
        <w:rPr>
          <w:rFonts w:ascii="Times New Roman" w:eastAsia="Times New Roman" w:hAnsi="Times New Roman" w:cs="Times New Roman"/>
          <w:sz w:val="24"/>
          <w:szCs w:val="24"/>
          <w:lang w:val="en-US" w:eastAsia="en-US"/>
        </w:rPr>
        <w:t>, M. (2018).</w:t>
      </w:r>
      <w:proofErr w:type="gramEnd"/>
      <w:r w:rsidRPr="00AE713F">
        <w:rPr>
          <w:rFonts w:ascii="Times New Roman" w:eastAsia="Times New Roman" w:hAnsi="Times New Roman" w:cs="Times New Roman"/>
          <w:sz w:val="24"/>
          <w:szCs w:val="24"/>
          <w:lang w:val="en-US" w:eastAsia="en-US"/>
        </w:rPr>
        <w:t xml:space="preserve"> </w:t>
      </w:r>
      <w:proofErr w:type="gramStart"/>
      <w:r w:rsidRPr="00AE713F">
        <w:rPr>
          <w:rFonts w:ascii="Times New Roman" w:eastAsia="Times New Roman" w:hAnsi="Times New Roman" w:cs="Times New Roman"/>
          <w:sz w:val="24"/>
          <w:szCs w:val="24"/>
          <w:lang w:val="en-US" w:eastAsia="en-US"/>
        </w:rPr>
        <w:t>Enhancing verbal episodic memory in older and young subjects after tDCS of the dorsolateral prefrontal cortex.</w:t>
      </w:r>
      <w:proofErr w:type="gramEnd"/>
      <w:r w:rsidRPr="00AE713F">
        <w:rPr>
          <w:rFonts w:ascii="Times New Roman" w:eastAsia="Times New Roman" w:hAnsi="Times New Roman" w:cs="Times New Roman"/>
          <w:sz w:val="24"/>
          <w:szCs w:val="24"/>
          <w:lang w:val="en-US" w:eastAsia="en-US"/>
        </w:rPr>
        <w:t xml:space="preserve"> </w:t>
      </w:r>
      <w:r w:rsidRPr="00AE713F">
        <w:rPr>
          <w:rFonts w:ascii="Times New Roman" w:eastAsia="Times New Roman" w:hAnsi="Times New Roman" w:cs="Times New Roman"/>
          <w:i/>
          <w:iCs/>
          <w:sz w:val="24"/>
          <w:szCs w:val="24"/>
          <w:lang w:val="en-US" w:eastAsia="en-US"/>
        </w:rPr>
        <w:t>Neuroscience, 395,</w:t>
      </w:r>
      <w:r w:rsidRPr="00AE713F">
        <w:rPr>
          <w:rFonts w:ascii="Times New Roman" w:eastAsia="Times New Roman" w:hAnsi="Times New Roman" w:cs="Times New Roman"/>
          <w:sz w:val="24"/>
          <w:szCs w:val="24"/>
          <w:lang w:val="en-US" w:eastAsia="en-US"/>
        </w:rPr>
        <w:t xml:space="preserve"> 40–48.</w:t>
      </w:r>
    </w:p>
    <w:p w:rsidR="00AE713F" w:rsidRPr="00AE713F" w:rsidRDefault="00AE713F" w:rsidP="00AE713F">
      <w:pPr>
        <w:spacing w:before="100" w:beforeAutospacing="1" w:after="100" w:afterAutospacing="1" w:line="360" w:lineRule="auto"/>
        <w:ind w:left="720" w:hanging="630"/>
        <w:rPr>
          <w:rFonts w:ascii="Times New Roman" w:eastAsia="Times New Roman" w:hAnsi="Times New Roman" w:cs="Times New Roman"/>
          <w:sz w:val="24"/>
          <w:szCs w:val="24"/>
          <w:lang w:val="en-US" w:eastAsia="en-US"/>
        </w:rPr>
      </w:pPr>
      <w:proofErr w:type="spellStart"/>
      <w:r w:rsidRPr="00AE713F">
        <w:rPr>
          <w:rFonts w:ascii="Times New Roman" w:eastAsia="Times New Roman" w:hAnsi="Times New Roman" w:cs="Times New Roman"/>
          <w:sz w:val="24"/>
          <w:szCs w:val="24"/>
          <w:lang w:val="en-US" w:eastAsia="en-US"/>
        </w:rPr>
        <w:t>Nucci</w:t>
      </w:r>
      <w:proofErr w:type="spellEnd"/>
      <w:r w:rsidRPr="00AE713F">
        <w:rPr>
          <w:rFonts w:ascii="Times New Roman" w:eastAsia="Times New Roman" w:hAnsi="Times New Roman" w:cs="Times New Roman"/>
          <w:sz w:val="24"/>
          <w:szCs w:val="24"/>
          <w:lang w:val="en-US" w:eastAsia="en-US"/>
        </w:rPr>
        <w:t xml:space="preserve">, M., </w:t>
      </w:r>
      <w:proofErr w:type="spellStart"/>
      <w:r w:rsidRPr="00AE713F">
        <w:rPr>
          <w:rFonts w:ascii="Times New Roman" w:eastAsia="Times New Roman" w:hAnsi="Times New Roman" w:cs="Times New Roman"/>
          <w:sz w:val="24"/>
          <w:szCs w:val="24"/>
          <w:lang w:val="en-US" w:eastAsia="en-US"/>
        </w:rPr>
        <w:t>Mapelli</w:t>
      </w:r>
      <w:proofErr w:type="spellEnd"/>
      <w:r w:rsidRPr="00AE713F">
        <w:rPr>
          <w:rFonts w:ascii="Times New Roman" w:eastAsia="Times New Roman" w:hAnsi="Times New Roman" w:cs="Times New Roman"/>
          <w:sz w:val="24"/>
          <w:szCs w:val="24"/>
          <w:lang w:val="en-US" w:eastAsia="en-US"/>
        </w:rPr>
        <w:t xml:space="preserve">, D., &amp; </w:t>
      </w:r>
      <w:proofErr w:type="spellStart"/>
      <w:r w:rsidRPr="00AE713F">
        <w:rPr>
          <w:rFonts w:ascii="Times New Roman" w:eastAsia="Times New Roman" w:hAnsi="Times New Roman" w:cs="Times New Roman"/>
          <w:sz w:val="24"/>
          <w:szCs w:val="24"/>
          <w:lang w:val="en-US" w:eastAsia="en-US"/>
        </w:rPr>
        <w:t>Mondini</w:t>
      </w:r>
      <w:proofErr w:type="spellEnd"/>
      <w:r w:rsidRPr="00AE713F">
        <w:rPr>
          <w:rFonts w:ascii="Times New Roman" w:eastAsia="Times New Roman" w:hAnsi="Times New Roman" w:cs="Times New Roman"/>
          <w:sz w:val="24"/>
          <w:szCs w:val="24"/>
          <w:lang w:val="en-US" w:eastAsia="en-US"/>
        </w:rPr>
        <w:t>, S. (2012). Cognitive Reserve Index questionnaire (</w:t>
      </w:r>
      <w:proofErr w:type="spellStart"/>
      <w:r w:rsidRPr="00AE713F">
        <w:rPr>
          <w:rFonts w:ascii="Times New Roman" w:eastAsia="Times New Roman" w:hAnsi="Times New Roman" w:cs="Times New Roman"/>
          <w:sz w:val="24"/>
          <w:szCs w:val="24"/>
          <w:lang w:val="en-US" w:eastAsia="en-US"/>
        </w:rPr>
        <w:t>CRIq</w:t>
      </w:r>
      <w:proofErr w:type="spellEnd"/>
      <w:r w:rsidRPr="00AE713F">
        <w:rPr>
          <w:rFonts w:ascii="Times New Roman" w:eastAsia="Times New Roman" w:hAnsi="Times New Roman" w:cs="Times New Roman"/>
          <w:sz w:val="24"/>
          <w:szCs w:val="24"/>
          <w:lang w:val="en-US" w:eastAsia="en-US"/>
        </w:rPr>
        <w:t xml:space="preserve">): A new instrument for measuring cognitive reserve. </w:t>
      </w:r>
      <w:proofErr w:type="gramStart"/>
      <w:r w:rsidRPr="00AE713F">
        <w:rPr>
          <w:rFonts w:ascii="Times New Roman" w:eastAsia="Times New Roman" w:hAnsi="Times New Roman" w:cs="Times New Roman"/>
          <w:i/>
          <w:iCs/>
          <w:sz w:val="24"/>
          <w:szCs w:val="24"/>
          <w:lang w:val="en-US" w:eastAsia="en-US"/>
        </w:rPr>
        <w:t>Aging Clinical and Experimental Research, 24</w:t>
      </w:r>
      <w:r w:rsidRPr="00AE713F">
        <w:rPr>
          <w:rFonts w:ascii="Times New Roman" w:eastAsia="Times New Roman" w:hAnsi="Times New Roman" w:cs="Times New Roman"/>
          <w:sz w:val="24"/>
          <w:szCs w:val="24"/>
          <w:lang w:val="en-US" w:eastAsia="en-US"/>
        </w:rPr>
        <w:t>(3), 218–226.</w:t>
      </w:r>
      <w:proofErr w:type="gramEnd"/>
    </w:p>
    <w:p w:rsidR="00AE713F" w:rsidRPr="00AE713F" w:rsidRDefault="00AE713F" w:rsidP="00AE713F">
      <w:pPr>
        <w:spacing w:before="100" w:beforeAutospacing="1" w:after="100" w:afterAutospacing="1" w:line="360" w:lineRule="auto"/>
        <w:ind w:left="720" w:hanging="630"/>
        <w:rPr>
          <w:rFonts w:ascii="Times New Roman" w:eastAsia="Times New Roman" w:hAnsi="Times New Roman" w:cs="Times New Roman"/>
          <w:sz w:val="24"/>
          <w:szCs w:val="24"/>
          <w:lang w:val="en-US" w:eastAsia="en-US"/>
        </w:rPr>
      </w:pPr>
      <w:proofErr w:type="spellStart"/>
      <w:proofErr w:type="gramStart"/>
      <w:r w:rsidRPr="00AE713F">
        <w:rPr>
          <w:rFonts w:ascii="Times New Roman" w:eastAsia="Times New Roman" w:hAnsi="Times New Roman" w:cs="Times New Roman"/>
          <w:sz w:val="24"/>
          <w:szCs w:val="24"/>
          <w:lang w:val="en-US" w:eastAsia="en-US"/>
        </w:rPr>
        <w:t>Sandrini</w:t>
      </w:r>
      <w:proofErr w:type="spellEnd"/>
      <w:r w:rsidRPr="00AE713F">
        <w:rPr>
          <w:rFonts w:ascii="Times New Roman" w:eastAsia="Times New Roman" w:hAnsi="Times New Roman" w:cs="Times New Roman"/>
          <w:sz w:val="24"/>
          <w:szCs w:val="24"/>
          <w:lang w:val="en-US" w:eastAsia="en-US"/>
        </w:rPr>
        <w:t xml:space="preserve">, M., </w:t>
      </w:r>
      <w:proofErr w:type="spellStart"/>
      <w:r w:rsidRPr="00AE713F">
        <w:rPr>
          <w:rFonts w:ascii="Times New Roman" w:eastAsia="Times New Roman" w:hAnsi="Times New Roman" w:cs="Times New Roman"/>
          <w:sz w:val="24"/>
          <w:szCs w:val="24"/>
          <w:lang w:val="en-US" w:eastAsia="en-US"/>
        </w:rPr>
        <w:t>Manenti</w:t>
      </w:r>
      <w:proofErr w:type="spellEnd"/>
      <w:r w:rsidRPr="00AE713F">
        <w:rPr>
          <w:rFonts w:ascii="Times New Roman" w:eastAsia="Times New Roman" w:hAnsi="Times New Roman" w:cs="Times New Roman"/>
          <w:sz w:val="24"/>
          <w:szCs w:val="24"/>
          <w:lang w:val="en-US" w:eastAsia="en-US"/>
        </w:rPr>
        <w:t xml:space="preserve">, R., &amp; </w:t>
      </w:r>
      <w:proofErr w:type="spellStart"/>
      <w:r w:rsidRPr="00AE713F">
        <w:rPr>
          <w:rFonts w:ascii="Times New Roman" w:eastAsia="Times New Roman" w:hAnsi="Times New Roman" w:cs="Times New Roman"/>
          <w:sz w:val="24"/>
          <w:szCs w:val="24"/>
          <w:lang w:val="en-US" w:eastAsia="en-US"/>
        </w:rPr>
        <w:t>Brambilla</w:t>
      </w:r>
      <w:proofErr w:type="spellEnd"/>
      <w:r w:rsidRPr="00AE713F">
        <w:rPr>
          <w:rFonts w:ascii="Times New Roman" w:eastAsia="Times New Roman" w:hAnsi="Times New Roman" w:cs="Times New Roman"/>
          <w:sz w:val="24"/>
          <w:szCs w:val="24"/>
          <w:lang w:val="en-US" w:eastAsia="en-US"/>
        </w:rPr>
        <w:t>, M. (2019).</w:t>
      </w:r>
      <w:proofErr w:type="gramEnd"/>
      <w:r w:rsidRPr="00AE713F">
        <w:rPr>
          <w:rFonts w:ascii="Times New Roman" w:eastAsia="Times New Roman" w:hAnsi="Times New Roman" w:cs="Times New Roman"/>
          <w:sz w:val="24"/>
          <w:szCs w:val="24"/>
          <w:lang w:val="en-US" w:eastAsia="en-US"/>
        </w:rPr>
        <w:t xml:space="preserve"> </w:t>
      </w:r>
      <w:proofErr w:type="spellStart"/>
      <w:r w:rsidRPr="00AE713F">
        <w:rPr>
          <w:rFonts w:ascii="Times New Roman" w:eastAsia="Times New Roman" w:hAnsi="Times New Roman" w:cs="Times New Roman"/>
          <w:sz w:val="24"/>
          <w:szCs w:val="24"/>
          <w:lang w:val="en-US" w:eastAsia="en-US"/>
        </w:rPr>
        <w:t>Neuroenhancement</w:t>
      </w:r>
      <w:proofErr w:type="spellEnd"/>
      <w:r w:rsidRPr="00AE713F">
        <w:rPr>
          <w:rFonts w:ascii="Times New Roman" w:eastAsia="Times New Roman" w:hAnsi="Times New Roman" w:cs="Times New Roman"/>
          <w:sz w:val="24"/>
          <w:szCs w:val="24"/>
          <w:lang w:val="en-US" w:eastAsia="en-US"/>
        </w:rPr>
        <w:t xml:space="preserve"> in older adults: Behavioral and neurophysiological changes following tDCS. </w:t>
      </w:r>
      <w:r w:rsidRPr="00AE713F">
        <w:rPr>
          <w:rFonts w:ascii="Times New Roman" w:eastAsia="Times New Roman" w:hAnsi="Times New Roman" w:cs="Times New Roman"/>
          <w:i/>
          <w:iCs/>
          <w:sz w:val="24"/>
          <w:szCs w:val="24"/>
          <w:lang w:val="en-US" w:eastAsia="en-US"/>
        </w:rPr>
        <w:t>Journal of Cognitive Neuroscience, 31</w:t>
      </w:r>
      <w:r w:rsidRPr="00AE713F">
        <w:rPr>
          <w:rFonts w:ascii="Times New Roman" w:eastAsia="Times New Roman" w:hAnsi="Times New Roman" w:cs="Times New Roman"/>
          <w:sz w:val="24"/>
          <w:szCs w:val="24"/>
          <w:lang w:val="en-US" w:eastAsia="en-US"/>
        </w:rPr>
        <w:t>(5), 731–742.</w:t>
      </w:r>
    </w:p>
    <w:p w:rsidR="00AE713F" w:rsidRPr="00AE713F" w:rsidRDefault="00AE713F" w:rsidP="00AE713F">
      <w:pPr>
        <w:spacing w:before="100" w:beforeAutospacing="1" w:after="100" w:afterAutospacing="1" w:line="360" w:lineRule="auto"/>
        <w:ind w:left="720" w:hanging="630"/>
        <w:rPr>
          <w:rFonts w:ascii="Times New Roman" w:eastAsia="Times New Roman" w:hAnsi="Times New Roman" w:cs="Times New Roman"/>
          <w:sz w:val="24"/>
          <w:szCs w:val="24"/>
          <w:lang w:val="en-US" w:eastAsia="en-US"/>
        </w:rPr>
      </w:pPr>
      <w:r w:rsidRPr="00AE713F">
        <w:rPr>
          <w:rFonts w:ascii="Times New Roman" w:eastAsia="Times New Roman" w:hAnsi="Times New Roman" w:cs="Times New Roman"/>
          <w:sz w:val="24"/>
          <w:szCs w:val="24"/>
          <w:lang w:val="en-US" w:eastAsia="en-US"/>
        </w:rPr>
        <w:t xml:space="preserve">Stern, Y. (2002). What is cognitive reserve? </w:t>
      </w:r>
      <w:proofErr w:type="gramStart"/>
      <w:r w:rsidRPr="00AE713F">
        <w:rPr>
          <w:rFonts w:ascii="Times New Roman" w:eastAsia="Times New Roman" w:hAnsi="Times New Roman" w:cs="Times New Roman"/>
          <w:sz w:val="24"/>
          <w:szCs w:val="24"/>
          <w:lang w:val="en-US" w:eastAsia="en-US"/>
        </w:rPr>
        <w:t>Theory and research application of the reserve concept.</w:t>
      </w:r>
      <w:proofErr w:type="gramEnd"/>
      <w:r w:rsidRPr="00AE713F">
        <w:rPr>
          <w:rFonts w:ascii="Times New Roman" w:eastAsia="Times New Roman" w:hAnsi="Times New Roman" w:cs="Times New Roman"/>
          <w:sz w:val="24"/>
          <w:szCs w:val="24"/>
          <w:lang w:val="en-US" w:eastAsia="en-US"/>
        </w:rPr>
        <w:t xml:space="preserve"> </w:t>
      </w:r>
      <w:r w:rsidRPr="00AE713F">
        <w:rPr>
          <w:rFonts w:ascii="Times New Roman" w:eastAsia="Times New Roman" w:hAnsi="Times New Roman" w:cs="Times New Roman"/>
          <w:i/>
          <w:iCs/>
          <w:sz w:val="24"/>
          <w:szCs w:val="24"/>
          <w:lang w:val="en-US" w:eastAsia="en-US"/>
        </w:rPr>
        <w:t>Journal of the International Neuropsychological Society, 8</w:t>
      </w:r>
      <w:r w:rsidRPr="00AE713F">
        <w:rPr>
          <w:rFonts w:ascii="Times New Roman" w:eastAsia="Times New Roman" w:hAnsi="Times New Roman" w:cs="Times New Roman"/>
          <w:sz w:val="24"/>
          <w:szCs w:val="24"/>
          <w:lang w:val="en-US" w:eastAsia="en-US"/>
        </w:rPr>
        <w:t>(3), 448–460.</w:t>
      </w:r>
    </w:p>
    <w:p w:rsidR="00AE713F" w:rsidRDefault="00AE713F" w:rsidP="00AE713F">
      <w:pPr>
        <w:pStyle w:val="NormalWeb"/>
        <w:spacing w:line="360" w:lineRule="auto"/>
        <w:ind w:left="720" w:hanging="630"/>
      </w:pPr>
      <w:proofErr w:type="spellStart"/>
      <w:proofErr w:type="gramStart"/>
      <w:r>
        <w:t>Sandrini</w:t>
      </w:r>
      <w:proofErr w:type="spellEnd"/>
      <w:r>
        <w:t xml:space="preserve">, M., </w:t>
      </w:r>
      <w:proofErr w:type="spellStart"/>
      <w:r>
        <w:t>Brambilla</w:t>
      </w:r>
      <w:proofErr w:type="spellEnd"/>
      <w:r>
        <w:t xml:space="preserve">, M., </w:t>
      </w:r>
      <w:proofErr w:type="spellStart"/>
      <w:r>
        <w:t>Manenti</w:t>
      </w:r>
      <w:proofErr w:type="spellEnd"/>
      <w:r>
        <w:t xml:space="preserve">, R., </w:t>
      </w:r>
      <w:proofErr w:type="spellStart"/>
      <w:r>
        <w:t>Rosini</w:t>
      </w:r>
      <w:proofErr w:type="spellEnd"/>
      <w:r>
        <w:t xml:space="preserve">, S., Cohen, L. G., &amp; </w:t>
      </w:r>
      <w:proofErr w:type="spellStart"/>
      <w:r>
        <w:t>Cotelli</w:t>
      </w:r>
      <w:proofErr w:type="spellEnd"/>
      <w:r>
        <w:t>, M. (2019).</w:t>
      </w:r>
      <w:proofErr w:type="gramEnd"/>
      <w:r>
        <w:t xml:space="preserve"> Cognitive reserve and tDCS efficacy in Alzheimer's disease: A randomized, double-blind, sham-controlled trial. </w:t>
      </w:r>
      <w:r>
        <w:rPr>
          <w:rStyle w:val="Emphasis"/>
        </w:rPr>
        <w:t>Neuropsychological Rehabilitation, 29</w:t>
      </w:r>
      <w:r>
        <w:t>(5), 576-590. https://doi.org/10.1080/09602011.2017.1315935</w:t>
      </w:r>
    </w:p>
    <w:p w:rsidR="00AE713F" w:rsidRDefault="00AE713F" w:rsidP="00AE713F">
      <w:pPr>
        <w:pStyle w:val="NormalWeb"/>
        <w:spacing w:line="360" w:lineRule="auto"/>
        <w:ind w:left="720" w:hanging="630"/>
      </w:pPr>
      <w:r>
        <w:t xml:space="preserve">Stern, Y. (2002). What is cognitive reserve? </w:t>
      </w:r>
      <w:proofErr w:type="gramStart"/>
      <w:r>
        <w:t>Theory and research application of the reserve concept.</w:t>
      </w:r>
      <w:proofErr w:type="gramEnd"/>
      <w:r>
        <w:t xml:space="preserve"> </w:t>
      </w:r>
      <w:r>
        <w:rPr>
          <w:rStyle w:val="Emphasis"/>
        </w:rPr>
        <w:t>Journal of the International Neuropsychological Society, 8</w:t>
      </w:r>
      <w:r>
        <w:t>(3), 448-460. https://doi.org/10.1017/S1355617702813248</w:t>
      </w:r>
    </w:p>
    <w:p w:rsidR="00AE713F" w:rsidRDefault="00AE713F" w:rsidP="00AE713F">
      <w:pPr>
        <w:spacing w:before="100" w:beforeAutospacing="1" w:after="100" w:afterAutospacing="1" w:line="360" w:lineRule="auto"/>
        <w:ind w:left="720" w:hanging="630"/>
        <w:rPr>
          <w:rFonts w:ascii="Times New Roman" w:eastAsia="Times New Roman" w:hAnsi="Times New Roman" w:cs="Times New Roman"/>
          <w:sz w:val="24"/>
          <w:szCs w:val="24"/>
          <w:lang w:val="en-US" w:eastAsia="en-US"/>
        </w:rPr>
      </w:pPr>
      <w:r w:rsidRPr="00AE713F">
        <w:rPr>
          <w:rFonts w:ascii="Times New Roman" w:eastAsia="Times New Roman" w:hAnsi="Times New Roman" w:cs="Times New Roman"/>
          <w:sz w:val="24"/>
          <w:szCs w:val="24"/>
          <w:lang w:val="en-US" w:eastAsia="en-US"/>
        </w:rPr>
        <w:t xml:space="preserve"> </w:t>
      </w:r>
      <w:proofErr w:type="spellStart"/>
      <w:r w:rsidRPr="00AE713F">
        <w:rPr>
          <w:rFonts w:ascii="Times New Roman" w:eastAsia="Times New Roman" w:hAnsi="Times New Roman" w:cs="Times New Roman"/>
          <w:sz w:val="24"/>
          <w:szCs w:val="24"/>
          <w:lang w:val="en-US" w:eastAsia="en-US"/>
        </w:rPr>
        <w:t>Tulving</w:t>
      </w:r>
      <w:proofErr w:type="spellEnd"/>
      <w:r w:rsidRPr="00AE713F">
        <w:rPr>
          <w:rFonts w:ascii="Times New Roman" w:eastAsia="Times New Roman" w:hAnsi="Times New Roman" w:cs="Times New Roman"/>
          <w:sz w:val="24"/>
          <w:szCs w:val="24"/>
          <w:lang w:val="en-US" w:eastAsia="en-US"/>
        </w:rPr>
        <w:t xml:space="preserve">, E. (2002). Episodic memory: From mind to brain. </w:t>
      </w:r>
      <w:r w:rsidRPr="00AE713F">
        <w:rPr>
          <w:rFonts w:ascii="Times New Roman" w:eastAsia="Times New Roman" w:hAnsi="Times New Roman" w:cs="Times New Roman"/>
          <w:i/>
          <w:iCs/>
          <w:sz w:val="24"/>
          <w:szCs w:val="24"/>
          <w:lang w:val="en-US" w:eastAsia="en-US"/>
        </w:rPr>
        <w:t>Annual Review of Psychology, 53</w:t>
      </w:r>
      <w:r w:rsidRPr="00AE713F">
        <w:rPr>
          <w:rFonts w:ascii="Times New Roman" w:eastAsia="Times New Roman" w:hAnsi="Times New Roman" w:cs="Times New Roman"/>
          <w:sz w:val="24"/>
          <w:szCs w:val="24"/>
          <w:lang w:val="en-US" w:eastAsia="en-US"/>
        </w:rPr>
        <w:t>(1), 1–25.</w:t>
      </w:r>
      <w:bookmarkStart w:id="17" w:name="_GoBack"/>
      <w:bookmarkEnd w:id="17"/>
    </w:p>
    <w:sectPr w:rsidR="00AE7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C2384C"/>
    <w:multiLevelType w:val="multilevel"/>
    <w:tmpl w:val="0F20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B90"/>
    <w:rsid w:val="0009005B"/>
    <w:rsid w:val="000B3533"/>
    <w:rsid w:val="00122A1E"/>
    <w:rsid w:val="00136694"/>
    <w:rsid w:val="0016268B"/>
    <w:rsid w:val="00243B9B"/>
    <w:rsid w:val="00381ED0"/>
    <w:rsid w:val="003954B6"/>
    <w:rsid w:val="003D1791"/>
    <w:rsid w:val="003D346B"/>
    <w:rsid w:val="003D34FE"/>
    <w:rsid w:val="005B4B90"/>
    <w:rsid w:val="00695134"/>
    <w:rsid w:val="00710C7B"/>
    <w:rsid w:val="00725CCF"/>
    <w:rsid w:val="00821C2D"/>
    <w:rsid w:val="00841310"/>
    <w:rsid w:val="00892D33"/>
    <w:rsid w:val="008A1DDD"/>
    <w:rsid w:val="008C1185"/>
    <w:rsid w:val="009222CF"/>
    <w:rsid w:val="00995A3C"/>
    <w:rsid w:val="00A26C06"/>
    <w:rsid w:val="00A60EE4"/>
    <w:rsid w:val="00A74611"/>
    <w:rsid w:val="00AD2C32"/>
    <w:rsid w:val="00AE713F"/>
    <w:rsid w:val="00B26CD5"/>
    <w:rsid w:val="00C07A72"/>
    <w:rsid w:val="00C111EB"/>
    <w:rsid w:val="00C94281"/>
    <w:rsid w:val="00D23174"/>
    <w:rsid w:val="00D65525"/>
    <w:rsid w:val="00E0337D"/>
    <w:rsid w:val="00E322AE"/>
    <w:rsid w:val="00E50DDB"/>
    <w:rsid w:val="00EA27C5"/>
    <w:rsid w:val="00ED4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B90"/>
    <w:pPr>
      <w:spacing w:after="0" w:line="240" w:lineRule="auto"/>
    </w:pPr>
    <w:rPr>
      <w:rFonts w:ascii="Calibri" w:eastAsia="Calibri" w:hAnsi="Calibri" w:cs="Arial"/>
      <w:sz w:val="20"/>
      <w:szCs w:val="20"/>
      <w:lang w:val="en-GB" w:eastAsia="en-GB"/>
    </w:rPr>
  </w:style>
  <w:style w:type="paragraph" w:styleId="Heading1">
    <w:name w:val="heading 1"/>
    <w:basedOn w:val="Normal"/>
    <w:next w:val="Normal"/>
    <w:link w:val="Heading1Char"/>
    <w:uiPriority w:val="9"/>
    <w:qFormat/>
    <w:rsid w:val="00C111EB"/>
    <w:pPr>
      <w:keepNext/>
      <w:keepLines/>
      <w:spacing w:before="480"/>
      <w:outlineLvl w:val="0"/>
    </w:pPr>
    <w:rPr>
      <w:rFonts w:ascii="Times New Roman" w:eastAsiaTheme="majorEastAsia" w:hAnsi="Times New Roman" w:cstheme="majorBidi"/>
      <w:b/>
      <w:bCs/>
      <w:caps/>
      <w:sz w:val="24"/>
      <w:szCs w:val="28"/>
    </w:rPr>
  </w:style>
  <w:style w:type="paragraph" w:styleId="Heading2">
    <w:name w:val="heading 2"/>
    <w:basedOn w:val="Normal"/>
    <w:next w:val="Normal"/>
    <w:link w:val="Heading2Char"/>
    <w:uiPriority w:val="9"/>
    <w:unhideWhenUsed/>
    <w:qFormat/>
    <w:rsid w:val="00C111EB"/>
    <w:pPr>
      <w:keepNext/>
      <w:keepLines/>
      <w:spacing w:before="200"/>
      <w:outlineLvl w:val="1"/>
    </w:pPr>
    <w:rPr>
      <w:rFonts w:ascii="Times New Roman" w:eastAsiaTheme="majorEastAsia" w:hAnsi="Times New Roman" w:cstheme="majorBidi"/>
      <w:b/>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27C5"/>
    <w:pPr>
      <w:spacing w:before="100" w:beforeAutospacing="1" w:after="100" w:afterAutospacing="1"/>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EA27C5"/>
    <w:rPr>
      <w:b/>
      <w:bCs/>
    </w:rPr>
  </w:style>
  <w:style w:type="paragraph" w:styleId="BalloonText">
    <w:name w:val="Balloon Text"/>
    <w:basedOn w:val="Normal"/>
    <w:link w:val="BalloonTextChar"/>
    <w:uiPriority w:val="99"/>
    <w:semiHidden/>
    <w:unhideWhenUsed/>
    <w:rsid w:val="00AD2C32"/>
    <w:rPr>
      <w:rFonts w:ascii="Tahoma" w:hAnsi="Tahoma" w:cs="Tahoma"/>
      <w:sz w:val="16"/>
      <w:szCs w:val="16"/>
    </w:rPr>
  </w:style>
  <w:style w:type="character" w:customStyle="1" w:styleId="BalloonTextChar">
    <w:name w:val="Balloon Text Char"/>
    <w:basedOn w:val="DefaultParagraphFont"/>
    <w:link w:val="BalloonText"/>
    <w:uiPriority w:val="99"/>
    <w:semiHidden/>
    <w:rsid w:val="00AD2C32"/>
    <w:rPr>
      <w:rFonts w:ascii="Tahoma" w:eastAsia="Calibri" w:hAnsi="Tahoma" w:cs="Tahoma"/>
      <w:sz w:val="16"/>
      <w:szCs w:val="16"/>
      <w:lang w:val="en-GB" w:eastAsia="en-GB"/>
    </w:rPr>
  </w:style>
  <w:style w:type="character" w:customStyle="1" w:styleId="Heading1Char">
    <w:name w:val="Heading 1 Char"/>
    <w:basedOn w:val="DefaultParagraphFont"/>
    <w:link w:val="Heading1"/>
    <w:uiPriority w:val="9"/>
    <w:rsid w:val="00C111EB"/>
    <w:rPr>
      <w:rFonts w:ascii="Times New Roman" w:eastAsiaTheme="majorEastAsia" w:hAnsi="Times New Roman" w:cstheme="majorBidi"/>
      <w:b/>
      <w:bCs/>
      <w:caps/>
      <w:sz w:val="24"/>
      <w:szCs w:val="28"/>
      <w:lang w:val="en-GB" w:eastAsia="en-GB"/>
    </w:rPr>
  </w:style>
  <w:style w:type="character" w:customStyle="1" w:styleId="Heading2Char">
    <w:name w:val="Heading 2 Char"/>
    <w:basedOn w:val="DefaultParagraphFont"/>
    <w:link w:val="Heading2"/>
    <w:uiPriority w:val="9"/>
    <w:rsid w:val="00C111EB"/>
    <w:rPr>
      <w:rFonts w:ascii="Times New Roman" w:eastAsiaTheme="majorEastAsia" w:hAnsi="Times New Roman" w:cstheme="majorBidi"/>
      <w:b/>
      <w:bCs/>
      <w:i/>
      <w:sz w:val="24"/>
      <w:szCs w:val="26"/>
      <w:lang w:val="en-GB" w:eastAsia="en-GB"/>
    </w:rPr>
  </w:style>
  <w:style w:type="character" w:styleId="Emphasis">
    <w:name w:val="Emphasis"/>
    <w:basedOn w:val="DefaultParagraphFont"/>
    <w:uiPriority w:val="20"/>
    <w:qFormat/>
    <w:rsid w:val="00AE713F"/>
    <w:rPr>
      <w:i/>
      <w:iCs/>
    </w:rPr>
  </w:style>
  <w:style w:type="paragraph" w:styleId="TOCHeading">
    <w:name w:val="TOC Heading"/>
    <w:basedOn w:val="Heading1"/>
    <w:next w:val="Normal"/>
    <w:uiPriority w:val="39"/>
    <w:semiHidden/>
    <w:unhideWhenUsed/>
    <w:qFormat/>
    <w:rsid w:val="00B26CD5"/>
    <w:pPr>
      <w:spacing w:line="276" w:lineRule="auto"/>
      <w:outlineLvl w:val="9"/>
    </w:pPr>
    <w:rPr>
      <w:rFonts w:asciiTheme="majorHAnsi" w:hAnsiTheme="majorHAnsi"/>
      <w:caps w:val="0"/>
      <w:color w:val="365F91" w:themeColor="accent1" w:themeShade="BF"/>
      <w:sz w:val="28"/>
      <w:lang w:val="en-US" w:eastAsia="ja-JP"/>
    </w:rPr>
  </w:style>
  <w:style w:type="paragraph" w:styleId="TOC1">
    <w:name w:val="toc 1"/>
    <w:basedOn w:val="Normal"/>
    <w:next w:val="Normal"/>
    <w:autoRedefine/>
    <w:uiPriority w:val="39"/>
    <w:unhideWhenUsed/>
    <w:rsid w:val="00B26CD5"/>
    <w:pPr>
      <w:spacing w:after="100"/>
    </w:pPr>
  </w:style>
  <w:style w:type="paragraph" w:styleId="TOC2">
    <w:name w:val="toc 2"/>
    <w:basedOn w:val="Normal"/>
    <w:next w:val="Normal"/>
    <w:autoRedefine/>
    <w:uiPriority w:val="39"/>
    <w:unhideWhenUsed/>
    <w:rsid w:val="00B26CD5"/>
    <w:pPr>
      <w:spacing w:after="100"/>
      <w:ind w:left="200"/>
    </w:pPr>
  </w:style>
  <w:style w:type="character" w:styleId="Hyperlink">
    <w:name w:val="Hyperlink"/>
    <w:basedOn w:val="DefaultParagraphFont"/>
    <w:uiPriority w:val="99"/>
    <w:unhideWhenUsed/>
    <w:rsid w:val="00B26CD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B90"/>
    <w:pPr>
      <w:spacing w:after="0" w:line="240" w:lineRule="auto"/>
    </w:pPr>
    <w:rPr>
      <w:rFonts w:ascii="Calibri" w:eastAsia="Calibri" w:hAnsi="Calibri" w:cs="Arial"/>
      <w:sz w:val="20"/>
      <w:szCs w:val="20"/>
      <w:lang w:val="en-GB" w:eastAsia="en-GB"/>
    </w:rPr>
  </w:style>
  <w:style w:type="paragraph" w:styleId="Heading1">
    <w:name w:val="heading 1"/>
    <w:basedOn w:val="Normal"/>
    <w:next w:val="Normal"/>
    <w:link w:val="Heading1Char"/>
    <w:uiPriority w:val="9"/>
    <w:qFormat/>
    <w:rsid w:val="00C111EB"/>
    <w:pPr>
      <w:keepNext/>
      <w:keepLines/>
      <w:spacing w:before="480"/>
      <w:outlineLvl w:val="0"/>
    </w:pPr>
    <w:rPr>
      <w:rFonts w:ascii="Times New Roman" w:eastAsiaTheme="majorEastAsia" w:hAnsi="Times New Roman" w:cstheme="majorBidi"/>
      <w:b/>
      <w:bCs/>
      <w:caps/>
      <w:sz w:val="24"/>
      <w:szCs w:val="28"/>
    </w:rPr>
  </w:style>
  <w:style w:type="paragraph" w:styleId="Heading2">
    <w:name w:val="heading 2"/>
    <w:basedOn w:val="Normal"/>
    <w:next w:val="Normal"/>
    <w:link w:val="Heading2Char"/>
    <w:uiPriority w:val="9"/>
    <w:unhideWhenUsed/>
    <w:qFormat/>
    <w:rsid w:val="00C111EB"/>
    <w:pPr>
      <w:keepNext/>
      <w:keepLines/>
      <w:spacing w:before="200"/>
      <w:outlineLvl w:val="1"/>
    </w:pPr>
    <w:rPr>
      <w:rFonts w:ascii="Times New Roman" w:eastAsiaTheme="majorEastAsia" w:hAnsi="Times New Roman" w:cstheme="majorBidi"/>
      <w:b/>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27C5"/>
    <w:pPr>
      <w:spacing w:before="100" w:beforeAutospacing="1" w:after="100" w:afterAutospacing="1"/>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EA27C5"/>
    <w:rPr>
      <w:b/>
      <w:bCs/>
    </w:rPr>
  </w:style>
  <w:style w:type="paragraph" w:styleId="BalloonText">
    <w:name w:val="Balloon Text"/>
    <w:basedOn w:val="Normal"/>
    <w:link w:val="BalloonTextChar"/>
    <w:uiPriority w:val="99"/>
    <w:semiHidden/>
    <w:unhideWhenUsed/>
    <w:rsid w:val="00AD2C32"/>
    <w:rPr>
      <w:rFonts w:ascii="Tahoma" w:hAnsi="Tahoma" w:cs="Tahoma"/>
      <w:sz w:val="16"/>
      <w:szCs w:val="16"/>
    </w:rPr>
  </w:style>
  <w:style w:type="character" w:customStyle="1" w:styleId="BalloonTextChar">
    <w:name w:val="Balloon Text Char"/>
    <w:basedOn w:val="DefaultParagraphFont"/>
    <w:link w:val="BalloonText"/>
    <w:uiPriority w:val="99"/>
    <w:semiHidden/>
    <w:rsid w:val="00AD2C32"/>
    <w:rPr>
      <w:rFonts w:ascii="Tahoma" w:eastAsia="Calibri" w:hAnsi="Tahoma" w:cs="Tahoma"/>
      <w:sz w:val="16"/>
      <w:szCs w:val="16"/>
      <w:lang w:val="en-GB" w:eastAsia="en-GB"/>
    </w:rPr>
  </w:style>
  <w:style w:type="character" w:customStyle="1" w:styleId="Heading1Char">
    <w:name w:val="Heading 1 Char"/>
    <w:basedOn w:val="DefaultParagraphFont"/>
    <w:link w:val="Heading1"/>
    <w:uiPriority w:val="9"/>
    <w:rsid w:val="00C111EB"/>
    <w:rPr>
      <w:rFonts w:ascii="Times New Roman" w:eastAsiaTheme="majorEastAsia" w:hAnsi="Times New Roman" w:cstheme="majorBidi"/>
      <w:b/>
      <w:bCs/>
      <w:caps/>
      <w:sz w:val="24"/>
      <w:szCs w:val="28"/>
      <w:lang w:val="en-GB" w:eastAsia="en-GB"/>
    </w:rPr>
  </w:style>
  <w:style w:type="character" w:customStyle="1" w:styleId="Heading2Char">
    <w:name w:val="Heading 2 Char"/>
    <w:basedOn w:val="DefaultParagraphFont"/>
    <w:link w:val="Heading2"/>
    <w:uiPriority w:val="9"/>
    <w:rsid w:val="00C111EB"/>
    <w:rPr>
      <w:rFonts w:ascii="Times New Roman" w:eastAsiaTheme="majorEastAsia" w:hAnsi="Times New Roman" w:cstheme="majorBidi"/>
      <w:b/>
      <w:bCs/>
      <w:i/>
      <w:sz w:val="24"/>
      <w:szCs w:val="26"/>
      <w:lang w:val="en-GB" w:eastAsia="en-GB"/>
    </w:rPr>
  </w:style>
  <w:style w:type="character" w:styleId="Emphasis">
    <w:name w:val="Emphasis"/>
    <w:basedOn w:val="DefaultParagraphFont"/>
    <w:uiPriority w:val="20"/>
    <w:qFormat/>
    <w:rsid w:val="00AE713F"/>
    <w:rPr>
      <w:i/>
      <w:iCs/>
    </w:rPr>
  </w:style>
  <w:style w:type="paragraph" w:styleId="TOCHeading">
    <w:name w:val="TOC Heading"/>
    <w:basedOn w:val="Heading1"/>
    <w:next w:val="Normal"/>
    <w:uiPriority w:val="39"/>
    <w:semiHidden/>
    <w:unhideWhenUsed/>
    <w:qFormat/>
    <w:rsid w:val="00B26CD5"/>
    <w:pPr>
      <w:spacing w:line="276" w:lineRule="auto"/>
      <w:outlineLvl w:val="9"/>
    </w:pPr>
    <w:rPr>
      <w:rFonts w:asciiTheme="majorHAnsi" w:hAnsiTheme="majorHAnsi"/>
      <w:caps w:val="0"/>
      <w:color w:val="365F91" w:themeColor="accent1" w:themeShade="BF"/>
      <w:sz w:val="28"/>
      <w:lang w:val="en-US" w:eastAsia="ja-JP"/>
    </w:rPr>
  </w:style>
  <w:style w:type="paragraph" w:styleId="TOC1">
    <w:name w:val="toc 1"/>
    <w:basedOn w:val="Normal"/>
    <w:next w:val="Normal"/>
    <w:autoRedefine/>
    <w:uiPriority w:val="39"/>
    <w:unhideWhenUsed/>
    <w:rsid w:val="00B26CD5"/>
    <w:pPr>
      <w:spacing w:after="100"/>
    </w:pPr>
  </w:style>
  <w:style w:type="paragraph" w:styleId="TOC2">
    <w:name w:val="toc 2"/>
    <w:basedOn w:val="Normal"/>
    <w:next w:val="Normal"/>
    <w:autoRedefine/>
    <w:uiPriority w:val="39"/>
    <w:unhideWhenUsed/>
    <w:rsid w:val="00B26CD5"/>
    <w:pPr>
      <w:spacing w:after="100"/>
      <w:ind w:left="200"/>
    </w:pPr>
  </w:style>
  <w:style w:type="character" w:styleId="Hyperlink">
    <w:name w:val="Hyperlink"/>
    <w:basedOn w:val="DefaultParagraphFont"/>
    <w:uiPriority w:val="99"/>
    <w:unhideWhenUsed/>
    <w:rsid w:val="00B26C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627617">
      <w:bodyDiv w:val="1"/>
      <w:marLeft w:val="0"/>
      <w:marRight w:val="0"/>
      <w:marTop w:val="0"/>
      <w:marBottom w:val="0"/>
      <w:divBdr>
        <w:top w:val="none" w:sz="0" w:space="0" w:color="auto"/>
        <w:left w:val="none" w:sz="0" w:space="0" w:color="auto"/>
        <w:bottom w:val="none" w:sz="0" w:space="0" w:color="auto"/>
        <w:right w:val="none" w:sz="0" w:space="0" w:color="auto"/>
      </w:divBdr>
    </w:div>
    <w:div w:id="579683002">
      <w:bodyDiv w:val="1"/>
      <w:marLeft w:val="0"/>
      <w:marRight w:val="0"/>
      <w:marTop w:val="0"/>
      <w:marBottom w:val="0"/>
      <w:divBdr>
        <w:top w:val="none" w:sz="0" w:space="0" w:color="auto"/>
        <w:left w:val="none" w:sz="0" w:space="0" w:color="auto"/>
        <w:bottom w:val="none" w:sz="0" w:space="0" w:color="auto"/>
        <w:right w:val="none" w:sz="0" w:space="0" w:color="auto"/>
      </w:divBdr>
      <w:divsChild>
        <w:div w:id="1405447080">
          <w:marLeft w:val="0"/>
          <w:marRight w:val="0"/>
          <w:marTop w:val="0"/>
          <w:marBottom w:val="0"/>
          <w:divBdr>
            <w:top w:val="none" w:sz="0" w:space="0" w:color="auto"/>
            <w:left w:val="none" w:sz="0" w:space="0" w:color="auto"/>
            <w:bottom w:val="none" w:sz="0" w:space="0" w:color="auto"/>
            <w:right w:val="none" w:sz="0" w:space="0" w:color="auto"/>
          </w:divBdr>
          <w:divsChild>
            <w:div w:id="1213077981">
              <w:marLeft w:val="0"/>
              <w:marRight w:val="0"/>
              <w:marTop w:val="0"/>
              <w:marBottom w:val="0"/>
              <w:divBdr>
                <w:top w:val="none" w:sz="0" w:space="0" w:color="auto"/>
                <w:left w:val="none" w:sz="0" w:space="0" w:color="auto"/>
                <w:bottom w:val="none" w:sz="0" w:space="0" w:color="auto"/>
                <w:right w:val="none" w:sz="0" w:space="0" w:color="auto"/>
              </w:divBdr>
              <w:divsChild>
                <w:div w:id="1617716656">
                  <w:marLeft w:val="0"/>
                  <w:marRight w:val="0"/>
                  <w:marTop w:val="0"/>
                  <w:marBottom w:val="0"/>
                  <w:divBdr>
                    <w:top w:val="none" w:sz="0" w:space="0" w:color="auto"/>
                    <w:left w:val="none" w:sz="0" w:space="0" w:color="auto"/>
                    <w:bottom w:val="none" w:sz="0" w:space="0" w:color="auto"/>
                    <w:right w:val="none" w:sz="0" w:space="0" w:color="auto"/>
                  </w:divBdr>
                  <w:divsChild>
                    <w:div w:id="57613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317746">
      <w:bodyDiv w:val="1"/>
      <w:marLeft w:val="0"/>
      <w:marRight w:val="0"/>
      <w:marTop w:val="0"/>
      <w:marBottom w:val="0"/>
      <w:divBdr>
        <w:top w:val="none" w:sz="0" w:space="0" w:color="auto"/>
        <w:left w:val="none" w:sz="0" w:space="0" w:color="auto"/>
        <w:bottom w:val="none" w:sz="0" w:space="0" w:color="auto"/>
        <w:right w:val="none" w:sz="0" w:space="0" w:color="auto"/>
      </w:divBdr>
    </w:div>
    <w:div w:id="637300106">
      <w:bodyDiv w:val="1"/>
      <w:marLeft w:val="0"/>
      <w:marRight w:val="0"/>
      <w:marTop w:val="0"/>
      <w:marBottom w:val="0"/>
      <w:divBdr>
        <w:top w:val="none" w:sz="0" w:space="0" w:color="auto"/>
        <w:left w:val="none" w:sz="0" w:space="0" w:color="auto"/>
        <w:bottom w:val="none" w:sz="0" w:space="0" w:color="auto"/>
        <w:right w:val="none" w:sz="0" w:space="0" w:color="auto"/>
      </w:divBdr>
    </w:div>
    <w:div w:id="823858086">
      <w:bodyDiv w:val="1"/>
      <w:marLeft w:val="0"/>
      <w:marRight w:val="0"/>
      <w:marTop w:val="0"/>
      <w:marBottom w:val="0"/>
      <w:divBdr>
        <w:top w:val="none" w:sz="0" w:space="0" w:color="auto"/>
        <w:left w:val="none" w:sz="0" w:space="0" w:color="auto"/>
        <w:bottom w:val="none" w:sz="0" w:space="0" w:color="auto"/>
        <w:right w:val="none" w:sz="0" w:space="0" w:color="auto"/>
      </w:divBdr>
    </w:div>
    <w:div w:id="852887265">
      <w:bodyDiv w:val="1"/>
      <w:marLeft w:val="0"/>
      <w:marRight w:val="0"/>
      <w:marTop w:val="0"/>
      <w:marBottom w:val="0"/>
      <w:divBdr>
        <w:top w:val="none" w:sz="0" w:space="0" w:color="auto"/>
        <w:left w:val="none" w:sz="0" w:space="0" w:color="auto"/>
        <w:bottom w:val="none" w:sz="0" w:space="0" w:color="auto"/>
        <w:right w:val="none" w:sz="0" w:space="0" w:color="auto"/>
      </w:divBdr>
    </w:div>
    <w:div w:id="1139375201">
      <w:bodyDiv w:val="1"/>
      <w:marLeft w:val="0"/>
      <w:marRight w:val="0"/>
      <w:marTop w:val="0"/>
      <w:marBottom w:val="0"/>
      <w:divBdr>
        <w:top w:val="none" w:sz="0" w:space="0" w:color="auto"/>
        <w:left w:val="none" w:sz="0" w:space="0" w:color="auto"/>
        <w:bottom w:val="none" w:sz="0" w:space="0" w:color="auto"/>
        <w:right w:val="none" w:sz="0" w:space="0" w:color="auto"/>
      </w:divBdr>
    </w:div>
    <w:div w:id="1347708924">
      <w:bodyDiv w:val="1"/>
      <w:marLeft w:val="0"/>
      <w:marRight w:val="0"/>
      <w:marTop w:val="0"/>
      <w:marBottom w:val="0"/>
      <w:divBdr>
        <w:top w:val="none" w:sz="0" w:space="0" w:color="auto"/>
        <w:left w:val="none" w:sz="0" w:space="0" w:color="auto"/>
        <w:bottom w:val="none" w:sz="0" w:space="0" w:color="auto"/>
        <w:right w:val="none" w:sz="0" w:space="0" w:color="auto"/>
      </w:divBdr>
    </w:div>
    <w:div w:id="1882591556">
      <w:bodyDiv w:val="1"/>
      <w:marLeft w:val="0"/>
      <w:marRight w:val="0"/>
      <w:marTop w:val="0"/>
      <w:marBottom w:val="0"/>
      <w:divBdr>
        <w:top w:val="none" w:sz="0" w:space="0" w:color="auto"/>
        <w:left w:val="none" w:sz="0" w:space="0" w:color="auto"/>
        <w:bottom w:val="none" w:sz="0" w:space="0" w:color="auto"/>
        <w:right w:val="none" w:sz="0" w:space="0" w:color="auto"/>
      </w:divBdr>
    </w:div>
    <w:div w:id="1968855954">
      <w:bodyDiv w:val="1"/>
      <w:marLeft w:val="0"/>
      <w:marRight w:val="0"/>
      <w:marTop w:val="0"/>
      <w:marBottom w:val="0"/>
      <w:divBdr>
        <w:top w:val="none" w:sz="0" w:space="0" w:color="auto"/>
        <w:left w:val="none" w:sz="0" w:space="0" w:color="auto"/>
        <w:bottom w:val="none" w:sz="0" w:space="0" w:color="auto"/>
        <w:right w:val="none" w:sz="0" w:space="0" w:color="auto"/>
      </w:divBdr>
    </w:div>
    <w:div w:id="1977291494">
      <w:bodyDiv w:val="1"/>
      <w:marLeft w:val="0"/>
      <w:marRight w:val="0"/>
      <w:marTop w:val="0"/>
      <w:marBottom w:val="0"/>
      <w:divBdr>
        <w:top w:val="none" w:sz="0" w:space="0" w:color="auto"/>
        <w:left w:val="none" w:sz="0" w:space="0" w:color="auto"/>
        <w:bottom w:val="none" w:sz="0" w:space="0" w:color="auto"/>
        <w:right w:val="none" w:sz="0" w:space="0" w:color="auto"/>
      </w:divBdr>
      <w:divsChild>
        <w:div w:id="907108242">
          <w:marLeft w:val="0"/>
          <w:marRight w:val="0"/>
          <w:marTop w:val="0"/>
          <w:marBottom w:val="0"/>
          <w:divBdr>
            <w:top w:val="none" w:sz="0" w:space="0" w:color="auto"/>
            <w:left w:val="none" w:sz="0" w:space="0" w:color="auto"/>
            <w:bottom w:val="none" w:sz="0" w:space="0" w:color="auto"/>
            <w:right w:val="none" w:sz="0" w:space="0" w:color="auto"/>
          </w:divBdr>
          <w:divsChild>
            <w:div w:id="589168678">
              <w:marLeft w:val="0"/>
              <w:marRight w:val="0"/>
              <w:marTop w:val="0"/>
              <w:marBottom w:val="0"/>
              <w:divBdr>
                <w:top w:val="none" w:sz="0" w:space="0" w:color="auto"/>
                <w:left w:val="none" w:sz="0" w:space="0" w:color="auto"/>
                <w:bottom w:val="none" w:sz="0" w:space="0" w:color="auto"/>
                <w:right w:val="none" w:sz="0" w:space="0" w:color="auto"/>
              </w:divBdr>
              <w:divsChild>
                <w:div w:id="1149710050">
                  <w:marLeft w:val="0"/>
                  <w:marRight w:val="0"/>
                  <w:marTop w:val="0"/>
                  <w:marBottom w:val="0"/>
                  <w:divBdr>
                    <w:top w:val="none" w:sz="0" w:space="0" w:color="auto"/>
                    <w:left w:val="none" w:sz="0" w:space="0" w:color="auto"/>
                    <w:bottom w:val="none" w:sz="0" w:space="0" w:color="auto"/>
                    <w:right w:val="none" w:sz="0" w:space="0" w:color="auto"/>
                  </w:divBdr>
                  <w:divsChild>
                    <w:div w:id="17912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49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GENDER</a:t>
            </a:r>
          </a:p>
        </c:rich>
      </c:tx>
      <c:overlay val="0"/>
    </c:title>
    <c:autoTitleDeleted val="0"/>
    <c:plotArea>
      <c:layout/>
      <c:pieChart>
        <c:varyColors val="1"/>
        <c:ser>
          <c:idx val="0"/>
          <c:order val="0"/>
          <c:dLbls>
            <c:showLegendKey val="0"/>
            <c:showVal val="0"/>
            <c:showCatName val="0"/>
            <c:showSerName val="0"/>
            <c:showPercent val="1"/>
            <c:showBubbleSize val="0"/>
            <c:showLeaderLines val="1"/>
          </c:dLbls>
          <c:cat>
            <c:strRef>
              <c:f>Sheet2!$I$10:$I$11</c:f>
              <c:strCache>
                <c:ptCount val="2"/>
                <c:pt idx="0">
                  <c:v>MALE</c:v>
                </c:pt>
                <c:pt idx="1">
                  <c:v>FEMALE</c:v>
                </c:pt>
              </c:strCache>
            </c:strRef>
          </c:cat>
          <c:val>
            <c:numRef>
              <c:f>Sheet2!$J$10:$J$11</c:f>
              <c:numCache>
                <c:formatCode>General</c:formatCode>
                <c:ptCount val="2"/>
                <c:pt idx="0">
                  <c:v>49</c:v>
                </c:pt>
                <c:pt idx="1">
                  <c:v>51</c:v>
                </c:pt>
              </c:numCache>
            </c:numRef>
          </c:val>
        </c:ser>
        <c:dLbls>
          <c:showLegendKey val="0"/>
          <c:showVal val="0"/>
          <c:showCatName val="0"/>
          <c:showSerName val="0"/>
          <c:showPercent val="1"/>
          <c:showBubbleSize val="0"/>
          <c:showLeaderLines val="1"/>
        </c:dLbls>
        <c:firstSliceAng val="0"/>
      </c:pieChart>
    </c:plotArea>
    <c:legend>
      <c:legendPos val="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a:defRPr/>
            </a:pPr>
            <a:r>
              <a:rPr lang="en-US"/>
              <a:t>AGE GROUP</a:t>
            </a:r>
          </a:p>
        </c:rich>
      </c:tx>
      <c:overlay val="0"/>
    </c:title>
    <c:autoTitleDeleted val="0"/>
    <c:view3D>
      <c:rotX val="15"/>
      <c:rotY val="20"/>
      <c:rAngAx val="1"/>
    </c:view3D>
    <c:floor>
      <c:thickness val="0"/>
    </c:floor>
    <c:sideWall>
      <c:thickness val="0"/>
    </c:sideWall>
    <c:backWall>
      <c:thickness val="0"/>
    </c:backWall>
    <c:plotArea>
      <c:layout/>
      <c:bar3DChart>
        <c:barDir val="col"/>
        <c:grouping val="stacked"/>
        <c:varyColors val="0"/>
        <c:ser>
          <c:idx val="0"/>
          <c:order val="0"/>
          <c:invertIfNegative val="0"/>
          <c:cat>
            <c:strRef>
              <c:f>Sheet3!$I$8:$I$13</c:f>
              <c:strCache>
                <c:ptCount val="6"/>
                <c:pt idx="0">
                  <c:v>18-25 years</c:v>
                </c:pt>
                <c:pt idx="1">
                  <c:v>26-30 years</c:v>
                </c:pt>
                <c:pt idx="2">
                  <c:v>31 to 35 years</c:v>
                </c:pt>
                <c:pt idx="3">
                  <c:v>35 to 40 years</c:v>
                </c:pt>
                <c:pt idx="4">
                  <c:v>41 to 45 years</c:v>
                </c:pt>
                <c:pt idx="5">
                  <c:v>46 to above 50</c:v>
                </c:pt>
              </c:strCache>
            </c:strRef>
          </c:cat>
          <c:val>
            <c:numRef>
              <c:f>Sheet3!$J$8:$J$13</c:f>
              <c:numCache>
                <c:formatCode>General</c:formatCode>
                <c:ptCount val="6"/>
                <c:pt idx="0">
                  <c:v>18</c:v>
                </c:pt>
                <c:pt idx="1">
                  <c:v>12</c:v>
                </c:pt>
                <c:pt idx="2">
                  <c:v>19</c:v>
                </c:pt>
                <c:pt idx="3">
                  <c:v>19</c:v>
                </c:pt>
                <c:pt idx="4">
                  <c:v>15</c:v>
                </c:pt>
                <c:pt idx="5">
                  <c:v>17</c:v>
                </c:pt>
              </c:numCache>
            </c:numRef>
          </c:val>
        </c:ser>
        <c:dLbls>
          <c:showLegendKey val="0"/>
          <c:showVal val="0"/>
          <c:showCatName val="0"/>
          <c:showSerName val="0"/>
          <c:showPercent val="0"/>
          <c:showBubbleSize val="0"/>
        </c:dLbls>
        <c:gapWidth val="95"/>
        <c:gapDepth val="95"/>
        <c:shape val="box"/>
        <c:axId val="151082880"/>
        <c:axId val="151084416"/>
        <c:axId val="0"/>
      </c:bar3DChart>
      <c:catAx>
        <c:axId val="151082880"/>
        <c:scaling>
          <c:orientation val="minMax"/>
        </c:scaling>
        <c:delete val="0"/>
        <c:axPos val="b"/>
        <c:majorTickMark val="none"/>
        <c:minorTickMark val="none"/>
        <c:tickLblPos val="nextTo"/>
        <c:crossAx val="151084416"/>
        <c:crosses val="autoZero"/>
        <c:auto val="1"/>
        <c:lblAlgn val="ctr"/>
        <c:lblOffset val="100"/>
        <c:noMultiLvlLbl val="0"/>
      </c:catAx>
      <c:valAx>
        <c:axId val="151084416"/>
        <c:scaling>
          <c:orientation val="minMax"/>
        </c:scaling>
        <c:delete val="0"/>
        <c:axPos val="l"/>
        <c:majorGridlines/>
        <c:title>
          <c:overlay val="0"/>
        </c:title>
        <c:numFmt formatCode="General" sourceLinked="1"/>
        <c:majorTickMark val="none"/>
        <c:minorTickMark val="none"/>
        <c:tickLblPos val="nextTo"/>
        <c:crossAx val="151082880"/>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821830-A501-4FF7-B06D-A1BA93D1D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12</Pages>
  <Words>2444</Words>
  <Characters>13935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Guest</cp:lastModifiedBy>
  <cp:revision>45</cp:revision>
  <dcterms:created xsi:type="dcterms:W3CDTF">2024-11-17T12:44:00Z</dcterms:created>
  <dcterms:modified xsi:type="dcterms:W3CDTF">2024-11-18T20:23:00Z</dcterms:modified>
</cp:coreProperties>
</file>