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Trans</w:t>
      </w:r>
      <w:r>
        <w:t xml:space="preserve"> </w:t>
      </w:r>
      <w:r>
        <w:t xml:space="preserve">Rights</w:t>
      </w:r>
      <w:r>
        <w:t xml:space="preserve"> </w:t>
      </w:r>
      <w:r>
        <w:t xml:space="preserve">Research</w:t>
      </w:r>
    </w:p>
    <w:p>
      <w:pPr>
        <w:pStyle w:val="Author"/>
      </w:pPr>
      <w:r>
        <w:t xml:space="preserve">Faith</w:t>
      </w:r>
      <w:r>
        <w:t xml:space="preserve"> </w:t>
      </w:r>
      <w:r>
        <w:t xml:space="preserve">Greene,</w:t>
      </w:r>
      <w:r>
        <w:t xml:space="preserve"> </w:t>
      </w:r>
      <w:r>
        <w:t xml:space="preserve">Minsuh</w:t>
      </w:r>
      <w:r>
        <w:t xml:space="preserve"> </w:t>
      </w:r>
      <w:r>
        <w:t xml:space="preserve">Kim,</w:t>
      </w:r>
      <w:r>
        <w:t xml:space="preserve"> </w:t>
      </w:r>
      <w:r>
        <w:t xml:space="preserve">Fila</w:t>
      </w:r>
      <w:r>
        <w:t xml:space="preserve"> </w:t>
      </w:r>
      <w:r>
        <w:t xml:space="preserve">Mohamed,</w:t>
      </w:r>
      <w:r>
        <w:t xml:space="preserve"> </w:t>
      </w:r>
      <w:r>
        <w:t xml:space="preserve">Hana</w:t>
      </w:r>
      <w:r>
        <w:t xml:space="preserve"> </w:t>
      </w:r>
      <w:r>
        <w:t xml:space="preserve">Pham</w:t>
      </w:r>
    </w:p>
    <w:p>
      <w:pPr>
        <w:pStyle w:val="Date"/>
      </w:pPr>
      <w:r>
        <w:t xml:space="preserve">2/16/2022</w:t>
      </w:r>
    </w:p>
    <w:bookmarkStart w:id="20" w:name="code-name-trans-data"/>
    <w:p>
      <w:pPr>
        <w:pStyle w:val="Heading6"/>
      </w:pPr>
      <w:r>
        <w:t xml:space="preserve">Code Name: Trans-Data</w:t>
      </w:r>
    </w:p>
    <w:bookmarkEnd w:id="20"/>
    <w:bookmarkStart w:id="21" w:name="project-title-trans-rights-research"/>
    <w:p>
      <w:pPr>
        <w:pStyle w:val="Heading5"/>
      </w:pPr>
      <w:r>
        <w:t xml:space="preserve">Project Title: Trans Rights Research</w:t>
      </w:r>
    </w:p>
    <w:bookmarkEnd w:id="21"/>
    <w:bookmarkStart w:id="26" w:name="authors"/>
    <w:p>
      <w:pPr>
        <w:pStyle w:val="Heading5"/>
      </w:pPr>
      <w:r>
        <w:t xml:space="preserve">Authors</w:t>
      </w:r>
    </w:p>
    <w:p>
      <w:pPr>
        <w:numPr>
          <w:ilvl w:val="0"/>
          <w:numId w:val="1001"/>
        </w:numPr>
        <w:pStyle w:val="Compact"/>
      </w:pPr>
      <w:r>
        <w:t xml:space="preserve">Minsuh Kim (</w:t>
      </w:r>
      <w:hyperlink r:id="rId22">
        <w:r>
          <w:rPr>
            <w:rStyle w:val="Hyperlink"/>
          </w:rPr>
          <w:t xml:space="preserve">msk812@uw.edu</w:t>
        </w:r>
      </w:hyperlink>
      <w:r>
        <w:t xml:space="preserve">)</w:t>
      </w:r>
    </w:p>
    <w:p>
      <w:pPr>
        <w:numPr>
          <w:ilvl w:val="0"/>
          <w:numId w:val="1001"/>
        </w:numPr>
        <w:pStyle w:val="Compact"/>
      </w:pPr>
      <w:r>
        <w:t xml:space="preserve">Faith Greene (</w:t>
      </w:r>
      <w:hyperlink r:id="rId23">
        <w:r>
          <w:rPr>
            <w:rStyle w:val="Hyperlink"/>
          </w:rPr>
          <w:t xml:space="preserve">bag01@uw.edu</w:t>
        </w:r>
      </w:hyperlink>
      <w:r>
        <w:t xml:space="preserve">)</w:t>
      </w:r>
    </w:p>
    <w:p>
      <w:pPr>
        <w:numPr>
          <w:ilvl w:val="0"/>
          <w:numId w:val="1001"/>
        </w:numPr>
        <w:pStyle w:val="Compact"/>
      </w:pPr>
      <w:r>
        <w:t xml:space="preserve">Hana Pham (</w:t>
      </w:r>
      <w:hyperlink r:id="rId24">
        <w:r>
          <w:rPr>
            <w:rStyle w:val="Hyperlink"/>
          </w:rPr>
          <w:t xml:space="preserve">hanapham@uw.edu</w:t>
        </w:r>
      </w:hyperlink>
      <w:r>
        <w:t xml:space="preserve">)</w:t>
      </w:r>
    </w:p>
    <w:p>
      <w:pPr>
        <w:numPr>
          <w:ilvl w:val="0"/>
          <w:numId w:val="1001"/>
        </w:numPr>
        <w:pStyle w:val="Compact"/>
      </w:pPr>
      <w:r>
        <w:t xml:space="preserve">Fila Mohamed (</w:t>
      </w:r>
      <w:hyperlink r:id="rId25">
        <w:r>
          <w:rPr>
            <w:rStyle w:val="Hyperlink"/>
          </w:rPr>
          <w:t xml:space="preserve">fila10@uw.edu</w:t>
        </w:r>
      </w:hyperlink>
      <w:r>
        <w:t xml:space="preserve">)</w:t>
      </w:r>
    </w:p>
    <w:bookmarkEnd w:id="26"/>
    <w:bookmarkStart w:id="27" w:name="affiliation"/>
    <w:p>
      <w:pPr>
        <w:pStyle w:val="Heading5"/>
      </w:pPr>
      <w:r>
        <w:t xml:space="preserve">Affiliation</w:t>
      </w:r>
    </w:p>
    <w:p>
      <w:pPr>
        <w:pStyle w:val="FirstParagraph"/>
      </w:pPr>
      <w:r>
        <w:t xml:space="preserve">INFO-201: Technical Foundations of Informatics- The Information School</w:t>
      </w:r>
      <w:r>
        <w:t xml:space="preserve"> </w:t>
      </w:r>
      <w:r>
        <w:t xml:space="preserve">University of Washington</w:t>
      </w:r>
    </w:p>
    <w:bookmarkEnd w:id="27"/>
    <w:bookmarkStart w:id="28" w:name="abstract"/>
    <w:p>
      <w:pPr>
        <w:pStyle w:val="Heading5"/>
      </w:pPr>
      <w:r>
        <w:t xml:space="preserve">Abstract</w:t>
      </w:r>
    </w:p>
    <w:p>
      <w:pPr>
        <w:pStyle w:val="FirstParagraph"/>
      </w:pPr>
      <w:r>
        <w:t xml:space="preserve">Our project attempts to address the issues surrounding the availability of trans healthcare regarding medically transitioning impacts on the rates of trans suicide and transphobic hate crimes. This is essential to address because data on trans populations are often unknown to the general populous, and bringing awareness to this topic would increase the amount of available data to help continue the fight for trans rights. To address this concern, we plan to look at available data sets and analyze if the rates of suicide and hate crimes change before and after, in a place, and with or without the availability of transition healthcare.</w:t>
      </w:r>
    </w:p>
    <w:bookmarkEnd w:id="28"/>
    <w:bookmarkStart w:id="29" w:name="keywords"/>
    <w:p>
      <w:pPr>
        <w:pStyle w:val="Heading5"/>
      </w:pPr>
      <w:r>
        <w:t xml:space="preserve">Keywords</w:t>
      </w:r>
    </w:p>
    <w:p>
      <w:pPr>
        <w:numPr>
          <w:ilvl w:val="0"/>
          <w:numId w:val="1002"/>
        </w:numPr>
        <w:pStyle w:val="Compact"/>
      </w:pPr>
      <w:r>
        <w:rPr>
          <w:iCs/>
          <w:i/>
        </w:rPr>
        <w:t xml:space="preserve">Trans Rights</w:t>
      </w:r>
    </w:p>
    <w:p>
      <w:pPr>
        <w:numPr>
          <w:ilvl w:val="0"/>
          <w:numId w:val="1002"/>
        </w:numPr>
        <w:pStyle w:val="Compact"/>
      </w:pPr>
      <w:r>
        <w:rPr>
          <w:iCs/>
          <w:i/>
        </w:rPr>
        <w:t xml:space="preserve">Trans Suicide</w:t>
      </w:r>
    </w:p>
    <w:p>
      <w:pPr>
        <w:numPr>
          <w:ilvl w:val="0"/>
          <w:numId w:val="1002"/>
        </w:numPr>
        <w:pStyle w:val="Compact"/>
      </w:pPr>
      <w:r>
        <w:rPr>
          <w:iCs/>
          <w:i/>
        </w:rPr>
        <w:t xml:space="preserve">Medical Transitioning Impacts</w:t>
      </w:r>
    </w:p>
    <w:p>
      <w:pPr>
        <w:numPr>
          <w:ilvl w:val="0"/>
          <w:numId w:val="1002"/>
        </w:numPr>
        <w:pStyle w:val="Compact"/>
      </w:pPr>
      <w:r>
        <w:rPr>
          <w:iCs/>
          <w:i/>
        </w:rPr>
        <w:t xml:space="preserve">Trans Hate Crimes</w:t>
      </w:r>
    </w:p>
    <w:bookmarkEnd w:id="29"/>
    <w:bookmarkStart w:id="30" w:name="introduction"/>
    <w:p>
      <w:pPr>
        <w:pStyle w:val="Heading5"/>
      </w:pPr>
      <w:r>
        <w:t xml:space="preserve">Introduction</w:t>
      </w:r>
    </w:p>
    <w:p>
      <w:pPr>
        <w:pStyle w:val="FirstParagraph"/>
      </w:pPr>
      <w:r>
        <w:t xml:space="preserve">Our project takes on problems surrounding Trans rights and their overall livelihood in the United States. The trans community has been subject to oppression both on social media and in real life. We as a group have decided to shed light on issues specifically in the trans community that is affected by outside factors. Some of these factors include hate crimes and lack of medical resources or support related to the patient’s choice of transitioning. We are connecting and comparing these outside factors mentioned to the rate of suicide in the trans community. Our data set will consist of hate crimes(against trans) count in various months; also, a second data source will contain the number of self-harm within the community each month. We will make sure to update our data as our questions become specific, and as such, we can retrieve our answers from each data source.</w:t>
      </w:r>
    </w:p>
    <w:bookmarkEnd w:id="30"/>
    <w:bookmarkStart w:id="35" w:name="Xf26ac2d77fba5e4ed0785e666370a5c81f30ead"/>
    <w:p>
      <w:pPr>
        <w:pStyle w:val="Heading5"/>
      </w:pPr>
      <w:r>
        <w:t xml:space="preserve">2.0 Design Situation: You may find it helpful to include a figure.</w:t>
      </w:r>
    </w:p>
    <w:bookmarkStart w:id="31" w:name="framing-the-topic-of-concern"/>
    <w:p>
      <w:pPr>
        <w:pStyle w:val="Heading6"/>
      </w:pPr>
      <w:r>
        <w:t xml:space="preserve">-</w:t>
      </w:r>
      <w:r>
        <w:t xml:space="preserve"> </w:t>
      </w:r>
      <w:r>
        <w:rPr>
          <w:iCs/>
          <w:i/>
        </w:rPr>
        <w:t xml:space="preserve">Framing the topic of concern:</w:t>
      </w:r>
    </w:p>
    <w:p>
      <w:pPr>
        <w:pStyle w:val="FirstParagraph"/>
      </w:pPr>
      <w:r>
        <w:t xml:space="preserve">The topic of concern is the effect of the availability of trans healthcare on the trans population concerning trans suicides. A key element would be trans rights. A lack of trans rights is solely a social justice problem that hinders trans peoples’ ability to transition fully.</w:t>
      </w:r>
    </w:p>
    <w:bookmarkEnd w:id="31"/>
    <w:bookmarkStart w:id="32" w:name="human-values"/>
    <w:p>
      <w:pPr>
        <w:pStyle w:val="Heading6"/>
      </w:pPr>
      <w:r>
        <w:t xml:space="preserve">-</w:t>
      </w:r>
      <w:r>
        <w:t xml:space="preserve"> </w:t>
      </w:r>
      <w:r>
        <w:rPr>
          <w:iCs/>
          <w:i/>
        </w:rPr>
        <w:t xml:space="preserve">Human Values:</w:t>
      </w:r>
    </w:p>
    <w:p>
      <w:pPr>
        <w:pStyle w:val="FirstParagraph"/>
      </w:pPr>
      <w:r>
        <w:t xml:space="preserve">The principal human value we’re emphasizing with our chosen topic is equal rights and accepting people for who they are. These values come from providing trans people with the medical tools and access to transition to being who they are. We chose this topic to draw attention to the issues surrounding trans rights and emphasize the detrimental results of these hate crimes. A considerable tension from this could be those who don’t believe in providing the trans populous access to medical care because of their ignorance.</w:t>
      </w:r>
    </w:p>
    <w:bookmarkEnd w:id="32"/>
    <w:bookmarkStart w:id="33" w:name="stakeholders"/>
    <w:p>
      <w:pPr>
        <w:pStyle w:val="Heading6"/>
      </w:pPr>
      <w:r>
        <w:t xml:space="preserve">-</w:t>
      </w:r>
      <w:r>
        <w:t xml:space="preserve"> </w:t>
      </w:r>
      <w:r>
        <w:rPr>
          <w:iCs/>
          <w:i/>
        </w:rPr>
        <w:t xml:space="preserve">Stakeholders:</w:t>
      </w:r>
    </w:p>
    <w:p>
      <w:pPr>
        <w:pStyle w:val="FirstParagraph"/>
      </w:pPr>
      <w:r>
        <w:t xml:space="preserve">The direct stakeholders of our topic are the general population. We’re motivated to raise awareness on injustices towards trans people, resulting in increasing numbers of suicides. We’re also bringing to light the problems surrounding the lack of availability of trans healthcare. Indirect stakeholders could be policymakers who can make a difference in making trans healthcare accessible for everyone. Other stakeholders include those within the medical field. Doctors or nurses all within the profession have the voice and access to create some change and advocacy for trans people. By displaying all this information, it may encourage some advocates within the specific work field to open up the possibilities of change.</w:t>
      </w:r>
    </w:p>
    <w:bookmarkEnd w:id="33"/>
    <w:bookmarkStart w:id="34" w:name="benefits-harms"/>
    <w:p>
      <w:pPr>
        <w:pStyle w:val="Heading6"/>
      </w:pPr>
      <w:r>
        <w:t xml:space="preserve">-</w:t>
      </w:r>
      <w:r>
        <w:t xml:space="preserve"> </w:t>
      </w:r>
      <w:r>
        <w:rPr>
          <w:iCs/>
          <w:i/>
        </w:rPr>
        <w:t xml:space="preserve">Benefits &amp; Harms:</w:t>
      </w:r>
    </w:p>
    <w:p>
      <w:pPr>
        <w:pStyle w:val="FirstParagraph"/>
      </w:pPr>
      <w:r>
        <w:t xml:space="preserve">A potential benefit would be a change surrounding the availability of trans healthcare. If this information were to incite any positive outcome, this would be by far the greatest. It would mean that the data we presented provoked some feelings of action and realization that something must change. That means it reached every audience we intended to target: policy makers, doctors, the general population and medical professionals. Some unanticipated consequences could be that our presentation of data doesn’t motivate the effort that we hoped would happen. In other words, there continues to be no advocation towards equality for trans people.</w:t>
      </w:r>
    </w:p>
    <w:bookmarkEnd w:id="34"/>
    <w:bookmarkEnd w:id="35"/>
    <w:bookmarkStart w:id="37" w:name="research-questions"/>
    <w:p>
      <w:pPr>
        <w:pStyle w:val="Heading5"/>
      </w:pPr>
      <w:r>
        <w:t xml:space="preserve">3.0 Research questions</w:t>
      </w:r>
    </w:p>
    <w:bookmarkStart w:id="36" w:name="q.1"/>
    <w:p>
      <w:pPr>
        <w:pStyle w:val="Heading6"/>
      </w:pPr>
      <w:r>
        <w:rPr>
          <w:iCs/>
          <w:i/>
          <w:bCs/>
          <w:b/>
        </w:rPr>
        <w:t xml:space="preserve">Q.1</w:t>
      </w:r>
    </w:p>
    <w:p>
      <w:pPr>
        <w:pStyle w:val="FirstParagraph"/>
      </w:pPr>
      <w:r>
        <w:t xml:space="preserve">How does limited access to medical care for the trans population affect their transitioning process and mental health?</w:t>
      </w:r>
      <w:r>
        <w:t xml:space="preserve"> </w:t>
      </w:r>
      <w:r>
        <w:t xml:space="preserve">######</w:t>
      </w:r>
      <w:r>
        <w:t xml:space="preserve"> </w:t>
      </w:r>
      <w:r>
        <w:rPr>
          <w:iCs/>
          <w:i/>
          <w:bCs/>
          <w:b/>
        </w:rPr>
        <w:t xml:space="preserve">Q.2</w:t>
      </w:r>
      <w:r>
        <w:t xml:space="preserve"> </w:t>
      </w:r>
      <w:r>
        <w:t xml:space="preserve">What is the result of many trans hate crimes on suicide rates among trans people?</w:t>
      </w:r>
      <w:r>
        <w:t xml:space="preserve"> </w:t>
      </w:r>
      <w:r>
        <w:t xml:space="preserve">######</w:t>
      </w:r>
      <w:r>
        <w:t xml:space="preserve"> </w:t>
      </w:r>
      <w:r>
        <w:rPr>
          <w:iCs/>
          <w:i/>
          <w:bCs/>
          <w:b/>
        </w:rPr>
        <w:t xml:space="preserve">Q.3</w:t>
      </w:r>
      <w:r>
        <w:t xml:space="preserve"> </w:t>
      </w:r>
      <w:r>
        <w:t xml:space="preserve">What opinions and perspectives on equal medical access rights for the transgender populous can we infer based on the number of successful transition stories?</w:t>
      </w:r>
      <w:r>
        <w:t xml:space="preserve"> </w:t>
      </w:r>
      <w:r>
        <w:t xml:space="preserve">######</w:t>
      </w:r>
      <w:r>
        <w:t xml:space="preserve"> </w:t>
      </w:r>
      <w:r>
        <w:rPr>
          <w:iCs/>
          <w:i/>
          <w:bCs/>
          <w:b/>
        </w:rPr>
        <w:t xml:space="preserve">Q.4</w:t>
      </w:r>
      <w:r>
        <w:t xml:space="preserve"> </w:t>
      </w:r>
      <w:r>
        <w:t xml:space="preserve">What effect will this data on suicide rates, trans hate crimes, and lack of medical accessibility for transitioning have on society’s response to these issues?</w:t>
      </w:r>
    </w:p>
    <w:bookmarkEnd w:id="36"/>
    <w:bookmarkEnd w:id="37"/>
    <w:bookmarkStart w:id="40" w:name="the-dataset"/>
    <w:p>
      <w:pPr>
        <w:pStyle w:val="Heading5"/>
      </w:pPr>
      <w:r>
        <w:t xml:space="preserve">4.0 The Dataset</w:t>
      </w:r>
    </w:p>
    <w:p>
      <w:pPr>
        <w:pStyle w:val="FirstParagraph"/>
      </w:pPr>
      <w:r>
        <w:t xml:space="preserve">As of writing, we have 3 data sets, though we may add more if we find relevant datasets that make up for limitations. While we do have a later section on limitations as part of my analysis of the three datasets, I will mention the limitations of each.</w:t>
      </w:r>
      <w:r>
        <w:t xml:space="preserve"> </w:t>
      </w:r>
      <w:r>
        <w:t xml:space="preserve">Our first dataset comes courtesy of the Trans Day of Remembrance organization that consolidated data from the Trans Murder Monitoring Project and Transgender Europe. Of all the datasets, this is one I, Faith, trust the most, as it was collected with the purpose of furthering transgender rights all over the world. Now the data itself has 4034 entries, with 21 data points per entry, though most probably won’t be of use for this project, but are still haunting, with 3 data points being different links to a more detailed site about each victim. But it would be remiss of me to not mention the limitations, namely that the data is all</w:t>
      </w:r>
      <w:r>
        <w:t xml:space="preserve"> </w:t>
      </w:r>
      <w:r>
        <w:rPr>
          <w:iCs/>
          <w:i/>
          <w:bCs/>
          <w:b/>
        </w:rPr>
        <w:t xml:space="preserve">reported</w:t>
      </w:r>
      <w:r>
        <w:t xml:space="preserve"> </w:t>
      </w:r>
      <w:r>
        <w:t xml:space="preserve">deaths, we don’t know how many who died were just not reported or the reports lost, not to mention that those who die in the closet won’t be reported in such a way to make it onto the dataset, thus our data is incomplete.</w:t>
      </w:r>
      <w:r>
        <w:t xml:space="preserve"> </w:t>
      </w:r>
      <w:r>
        <w:t xml:space="preserve">Our second dataset comes courtesy of the FBI and it records hate crimes since 1991, has 28 data points and 1,318,023 entries, most of this data won’t be relevant, as we care only about anti-trans hate crime, but the dataset does record the type of hate crime…. but only after 2014, so we will be missing a lot of hate crimes for the times where I, Faith, would expect them to be in their heyday in the US. Now because this is the FBI reporting, many hate crimes committed by police are probably not reported. However, on the whole, I expect what is reported to be true.</w:t>
      </w:r>
      <w:r>
        <w:t xml:space="preserve"> </w:t>
      </w:r>
      <w:r>
        <w:t xml:space="preserve">The last dataset is compiled by Faith Greene (me) from</w:t>
      </w:r>
      <w:r>
        <w:t xml:space="preserve"> </w:t>
      </w:r>
      <w:hyperlink r:id="rId38">
        <w:r>
          <w:rPr>
            <w:rStyle w:val="Hyperlink"/>
          </w:rPr>
          <w:t xml:space="preserve">https://www.lgbtmap.org/equality-maps/healthcare_laws_and_policies</w:t>
        </w:r>
      </w:hyperlink>
      <w:r>
        <w:t xml:space="preserve"> </w:t>
      </w:r>
      <w:r>
        <w:t xml:space="preserve">using the Wayback Machine at</w:t>
      </w:r>
      <w:r>
        <w:t xml:space="preserve"> </w:t>
      </w:r>
      <w:hyperlink r:id="rId39">
        <w:r>
          <w:rPr>
            <w:rStyle w:val="Hyperlink"/>
          </w:rPr>
          <w:t xml:space="preserve">https://web.archive.org/</w:t>
        </w:r>
      </w:hyperlink>
      <w:r>
        <w:t xml:space="preserve"> </w:t>
      </w:r>
      <w:r>
        <w:t xml:space="preserve">to approximate dates, and it of all 50 states, DC, and most of the territories laws on healthcare for trans individuals. Pinning down dates before may 5th 2015 would take more time than I have to spend on this project, because the Wayback machine does not have captures of my source from before that date, meaning I’d have to dig into states’ legislative histories. Now I had to take this imprecise method because there aren’t really datasets on the history of this subject, as most people care about the now in this scenario, and rightfully so. But this means my data is really untrustworthy because I spent over 8 hours compiling it by noting differences in the non-CSV table the site uses and recording when each change occurred, so exact dates are wrong by at bests a few days, but if I missed something big, it could be months. Also, I didn’t record everything I could, only recording whether there were private insurance anti-discrimination laws, laws for or against the exclusion of trans-specific care for private insurance, and whether Medicaid provided trans-specific care. I did not monitor whether state employees had trans benefits to ease the burden on myself, I also have not accounted for how many people have access to insurance nor how many doctors in a particular area are available. Were I to have more than a few days to spend on this, and more people to help, the data would be a lot better, but for now, it will have to do.</w:t>
      </w:r>
    </w:p>
    <w:bookmarkEnd w:id="40"/>
    <w:bookmarkStart w:id="47" w:name="limitations"/>
    <w:p>
      <w:pPr>
        <w:pStyle w:val="Heading5"/>
      </w:pPr>
      <w:r>
        <w:t xml:space="preserve">6.0 Limitations</w:t>
      </w:r>
    </w:p>
    <w:p>
      <w:pPr>
        <w:pStyle w:val="FirstParagraph"/>
      </w:pPr>
      <w:r>
        <w:t xml:space="preserve">A considerable limitation we face with this topic is a limited pool of information on our choice. We want to make sure we deliver an adequate and effective amount of data to get the outcome we’re anticipating. If we don’t provide the data in a way that’s easy for everyone to understand the message we’re portraying, we would have failed in the goal we’re attempting to meet in raising attention on the injustices towards transgender people. We’re limited in the types of data sets, not just the amount of data. We want to find ones that can show the relationship between trans hate crimes and the lack of social and medical support for the transgender community. There is one other limitation as well, there is no good metric for access to trans healthcare, because it’s a multifaceted issue. There could be transition care that’s easy and cheap to get as cough syrup, but if the environment is hostile to trans people, that care is going to be taken advantage of less. And so, our</w:t>
      </w:r>
      <w:r>
        <w:t xml:space="preserve"> </w:t>
      </w:r>
      <w:r>
        <w:t xml:space="preserve">‘</w:t>
      </w:r>
      <w:r>
        <w:t xml:space="preserve">independent variable</w:t>
      </w:r>
      <w:r>
        <w:t xml:space="preserve">’</w:t>
      </w:r>
      <w:r>
        <w:t xml:space="preserve">, so to speak, is affected by our</w:t>
      </w:r>
      <w:r>
        <w:t xml:space="preserve"> </w:t>
      </w:r>
      <w:r>
        <w:t xml:space="preserve">‘</w:t>
      </w:r>
      <w:r>
        <w:t xml:space="preserve">dependent variable</w:t>
      </w:r>
      <w:r>
        <w:t xml:space="preserve">’</w:t>
      </w:r>
      <w:r>
        <w:t xml:space="preserve">, but our dataset can’t really adapt to this.</w:t>
      </w:r>
    </w:p>
    <w:bookmarkStart w:id="41" w:name="acknowledgements"/>
    <w:p>
      <w:pPr>
        <w:pStyle w:val="Heading6"/>
      </w:pPr>
      <w:r>
        <w:t xml:space="preserve">Acknowledgements</w:t>
      </w:r>
    </w:p>
    <w:p>
      <w:pPr>
        <w:pStyle w:val="FirstParagraph"/>
      </w:pPr>
      <w:r>
        <w:t xml:space="preserve">We would like to thank our fellow peers for helping us find some data sets.</w:t>
      </w:r>
    </w:p>
    <w:bookmarkEnd w:id="41"/>
    <w:bookmarkStart w:id="46" w:name="references"/>
    <w:p>
      <w:pPr>
        <w:pStyle w:val="Heading6"/>
      </w:pPr>
      <w:r>
        <w:t xml:space="preserve">References</w:t>
      </w:r>
    </w:p>
    <w:p>
      <w:pPr>
        <w:numPr>
          <w:ilvl w:val="0"/>
          <w:numId w:val="1003"/>
        </w:numPr>
      </w:pPr>
      <w:r>
        <w:rPr>
          <w:iCs/>
          <w:i/>
        </w:rPr>
        <w:t xml:space="preserve">Study shows shocking rates of attempted suicide among Trans Teens</w:t>
      </w:r>
      <w:r>
        <w:t xml:space="preserve">. HRC. (n.d.).</w:t>
      </w:r>
      <w:r>
        <w:t xml:space="preserve"> </w:t>
      </w:r>
      <w:hyperlink r:id="rId42">
        <w:r>
          <w:rPr>
            <w:rStyle w:val="Hyperlink"/>
          </w:rPr>
          <w:t xml:space="preserve">https://www.hrc.org/news/new-study-reveals-shocking-rates-of-attempted-suicide-among-trans-adolescen</w:t>
        </w:r>
      </w:hyperlink>
    </w:p>
    <w:p>
      <w:pPr>
        <w:numPr>
          <w:ilvl w:val="0"/>
          <w:numId w:val="1003"/>
        </w:numPr>
      </w:pPr>
      <w:r>
        <w:t xml:space="preserve">Unger, C. A. (2016, December).</w:t>
      </w:r>
      <w:r>
        <w:t xml:space="preserve"> </w:t>
      </w:r>
      <w:r>
        <w:rPr>
          <w:iCs/>
          <w:i/>
        </w:rPr>
        <w:t xml:space="preserve">Hormone therapy for transgender patients</w:t>
      </w:r>
      <w:r>
        <w:t xml:space="preserve">. Translational andrology and urology.</w:t>
      </w:r>
      <w:r>
        <w:t xml:space="preserve"> </w:t>
      </w:r>
      <w:hyperlink r:id="rId43">
        <w:r>
          <w:rPr>
            <w:rStyle w:val="Hyperlink"/>
          </w:rPr>
          <w:t xml:space="preserve">https://www.ncbi.nlm.nih.gov/pmc/articles/PMC5182227/</w:t>
        </w:r>
      </w:hyperlink>
    </w:p>
    <w:p>
      <w:pPr>
        <w:numPr>
          <w:ilvl w:val="0"/>
          <w:numId w:val="1003"/>
        </w:numPr>
      </w:pPr>
      <w:r>
        <w:t xml:space="preserve">Rangel, A. (2022, February 2).</w:t>
      </w:r>
      <w:r>
        <w:t xml:space="preserve"> </w:t>
      </w:r>
      <w:r>
        <w:rPr>
          <w:iCs/>
          <w:i/>
        </w:rPr>
        <w:t xml:space="preserve">A blueprint for reform: Police and transgender rights</w:t>
      </w:r>
      <w:r>
        <w:t xml:space="preserve">. The Crime Report.</w:t>
      </w:r>
      <w:r>
        <w:t xml:space="preserve"> </w:t>
      </w:r>
      <w:hyperlink r:id="rId44">
        <w:r>
          <w:rPr>
            <w:rStyle w:val="Hyperlink"/>
          </w:rPr>
          <w:t xml:space="preserve">https://thecrimereport.org/2022/02/02/a-blueprint-for-reform-police-and-transgender-rights/</w:t>
        </w:r>
      </w:hyperlink>
    </w:p>
    <w:p>
      <w:pPr>
        <w:numPr>
          <w:ilvl w:val="0"/>
          <w:numId w:val="1003"/>
        </w:numPr>
      </w:pPr>
      <w:r>
        <w:rPr>
          <w:iCs/>
          <w:i/>
        </w:rPr>
        <w:t xml:space="preserve">Understanding the transgender community</w:t>
      </w:r>
      <w:r>
        <w:t xml:space="preserve">. HRC. (n.d.).</w:t>
      </w:r>
      <w:r>
        <w:t xml:space="preserve"> </w:t>
      </w:r>
      <w:hyperlink r:id="rId45">
        <w:r>
          <w:rPr>
            <w:rStyle w:val="Hyperlink"/>
          </w:rPr>
          <w:t xml:space="preserve">https://www.hrc.org/resources/understanding-the-transgender-community</w:t>
        </w:r>
      </w:hyperlink>
    </w:p>
    <w:bookmarkEnd w:id="46"/>
    <w:bookmarkEnd w:id="47"/>
    <w:bookmarkStart w:id="52" w:name="summary"/>
    <w:p>
      <w:pPr>
        <w:pStyle w:val="Heading2"/>
      </w:pPr>
      <w:r>
        <w:t xml:space="preserve">Summary</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3.1.6     v dplyr   1.0.7</w:t>
      </w:r>
      <w:r>
        <w:br/>
      </w:r>
      <w:r>
        <w:rPr>
          <w:rStyle w:val="VerbatimChar"/>
        </w:rPr>
        <w:t xml:space="preserve">## v tidyr   1.2.0     v stringr 1.4.0</w:t>
      </w:r>
      <w:r>
        <w:br/>
      </w:r>
      <w:r>
        <w:rPr>
          <w:rStyle w:val="VerbatimChar"/>
        </w:rPr>
        <w:t xml:space="preserve">## v readr   2.1.2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FirstParagraph"/>
      </w:pPr>
      <w:r>
        <w:t xml:space="preserve">So, in the course of summarizing the data, some observations/realizations were had: firstly, there is a strong trend for increase in both hate crimes and suicides over time(For hate crimes:list(Year =</w:t>
      </w:r>
      <w:r>
        <w:t xml:space="preserve"> </w:t>
      </w:r>
      <w:r>
        <w:t xml:space="preserve">“</w:t>
      </w:r>
      <w:r>
        <w:t xml:space="preserve">2013</w:t>
      </w:r>
      <w:r>
        <w:t xml:space="preserve">”</w:t>
      </w:r>
      <w:r>
        <w:t xml:space="preserve">)list(</w:t>
      </w:r>
      <w:r>
        <w:rPr>
          <w:rStyle w:val="VerbatimChar"/>
        </w:rPr>
        <w:t xml:space="preserve">n()</w:t>
      </w:r>
      <w:r>
        <w:t xml:space="preserve"> </w:t>
      </w:r>
      <w:r>
        <w:t xml:space="preserve">= 23)tolist(Year =</w:t>
      </w:r>
      <w:r>
        <w:t xml:space="preserve"> </w:t>
      </w:r>
      <w:r>
        <w:t xml:space="preserve">“</w:t>
      </w:r>
      <w:r>
        <w:t xml:space="preserve">2020</w:t>
      </w:r>
      <w:r>
        <w:t xml:space="preserve">”</w:t>
      </w:r>
      <w:r>
        <w:t xml:space="preserve">)list(</w:t>
      </w:r>
      <w:r>
        <w:rPr>
          <w:rStyle w:val="VerbatimChar"/>
        </w:rPr>
        <w:t xml:space="preserve">n()</w:t>
      </w:r>
      <w:r>
        <w:t xml:space="preserve"> </w:t>
      </w:r>
      <w:r>
        <w:t xml:space="preserve">= 224) and For sucides:list(Year =</w:t>
      </w:r>
      <w:r>
        <w:t xml:space="preserve"> </w:t>
      </w:r>
      <w:r>
        <w:t xml:space="preserve">“</w:t>
      </w:r>
      <w:r>
        <w:t xml:space="preserve">2000</w:t>
      </w:r>
      <w:r>
        <w:t xml:space="preserve">”</w:t>
      </w:r>
      <w:r>
        <w:t xml:space="preserve">)list(</w:t>
      </w:r>
      <w:r>
        <w:rPr>
          <w:rStyle w:val="VerbatimChar"/>
        </w:rPr>
        <w:t xml:space="preserve">n()</w:t>
      </w:r>
      <w:r>
        <w:t xml:space="preserve"> </w:t>
      </w:r>
      <w:r>
        <w:t xml:space="preserve">= 1)tolist(Year =</w:t>
      </w:r>
      <w:r>
        <w:t xml:space="preserve"> </w:t>
      </w:r>
      <w:r>
        <w:t xml:space="preserve">“</w:t>
      </w:r>
      <w:r>
        <w:t xml:space="preserve">2020</w:t>
      </w:r>
      <w:r>
        <w:t xml:space="preserve">”</w:t>
      </w:r>
      <w:r>
        <w:t xml:space="preserve">)list(</w:t>
      </w:r>
      <w:r>
        <w:rPr>
          <w:rStyle w:val="VerbatimChar"/>
        </w:rPr>
        <w:t xml:space="preserve">n()</w:t>
      </w:r>
      <w:r>
        <w:t xml:space="preserve"> </w:t>
      </w:r>
      <w:r>
        <w:t xml:space="preserve">= 8)), and, secondly, our data is sorely lacking for</w:t>
      </w:r>
      <w:r>
        <w:t xml:space="preserve"> </w:t>
      </w:r>
      <w:r>
        <w:rPr>
          <w:iCs/>
          <w:i/>
          <w:bCs/>
          <w:b/>
        </w:rPr>
        <w:t xml:space="preserve">all</w:t>
      </w:r>
      <w:r>
        <w:t xml:space="preserve"> </w:t>
      </w:r>
      <w:r>
        <w:t xml:space="preserve">cases only 894 meaningful observations from the FBI database, because LGBT hate crimes were lumped together before 2013, only 606 observations of fatalities from hate crimes and suicides from TDoR. Now, according to</w:t>
      </w:r>
      <w:r>
        <w:t xml:space="preserve"> </w:t>
      </w:r>
      <w:hyperlink r:id="rId48">
        <w:r>
          <w:rPr>
            <w:rStyle w:val="Hyperlink"/>
          </w:rPr>
          <w:t xml:space="preserve">UCLA School of law, Williams intitute</w:t>
        </w:r>
      </w:hyperlink>
      <w:r>
        <w:t xml:space="preserve"> </w:t>
      </w:r>
      <w:r>
        <w:t xml:space="preserve">about 1.4 million</w:t>
      </w:r>
      <w:r>
        <w:t xml:space="preserve"> </w:t>
      </w:r>
      <w:r>
        <w:rPr>
          <w:iCs/>
          <w:i/>
        </w:rPr>
        <w:t xml:space="preserve">adults</w:t>
      </w:r>
      <w:r>
        <w:t xml:space="preserve"> </w:t>
      </w:r>
      <w:r>
        <w:t xml:space="preserve">are trans in the US, so according to our data sets, then only</w:t>
      </w:r>
      <w:r>
        <w:t xml:space="preserve"> </w:t>
      </w:r>
      <w:r>
        <w:rPr>
          <w:bCs/>
          <w:b/>
        </w:rPr>
        <w:t xml:space="preserve">.063%</w:t>
      </w:r>
      <w:r>
        <w:t xml:space="preserve"> </w:t>
      </w:r>
      <w:r>
        <w:t xml:space="preserve">of trans people experience hate crimes, and while I’d love for this to be true, I cannot believe this to be the case as of right now. So, I started delving into hate crimes by state, and a damning picture started to emerge.</w:t>
      </w:r>
      <w:r>
        <w:t xml:space="preserve"> </w:t>
      </w:r>
      <w:r>
        <w:t xml:space="preserve">So I’ll just compare two points for now, but in the table, you will be able to see this pattern, WA, 80 as compared to SC, 5 doesn’t make sense, why would Washington, one of the most trans accepting places in the US have more hate crimes than South Carolina, a state deep in the bible belt? But then you consider: reporting, in Washington, a pretty accepting place, more people are likely to report a hate crime as one, due to more trust in the system to not turn against them as compared to South Carolina. Now this isn’t just damning to the nation, but also this project, because it means none of our data is going to be accurate in its current form, and conclusions drawn from it are going to have heavy asterisks attached. Were we to have more time to dedicate to data collection and more time to try to figure out roughly how much has gone unreported, and more people to help, perhaps it would be different, but as it stands right now you</w:t>
      </w:r>
      <w:r>
        <w:t xml:space="preserve"> </w:t>
      </w:r>
      <w:r>
        <w:rPr>
          <w:iCs/>
          <w:i/>
          <w:bCs/>
          <w:b/>
        </w:rPr>
        <w:t xml:space="preserve">SHOULD NOT</w:t>
      </w:r>
      <w:r>
        <w:t xml:space="preserve"> </w:t>
      </w:r>
      <w:r>
        <w:t xml:space="preserve">trust this project, at all.</w:t>
      </w:r>
    </w:p>
    <w:bookmarkStart w:id="49" w:name="summary-table"/>
    <w:p>
      <w:pPr>
        <w:pStyle w:val="Heading3"/>
      </w:pPr>
      <w:r>
        <w:t xml:space="preserve">Summary Table</w:t>
      </w:r>
    </w:p>
    <w:tbl>
      <w:tblPr>
        <w:tblStyle w:val="Table"/>
        <w:tblW w:type="pct" w:w="5000"/>
        <w:tblLook w:firstRow="1" w:lastRow="0" w:firstColumn="0" w:lastColumn="0" w:noHBand="0" w:noVBand="0" w:val="0020"/>
      </w:tblPr>
      <w:tblGrid>
        <w:gridCol w:w="416"/>
        <w:gridCol w:w="1750"/>
        <w:gridCol w:w="1500"/>
        <w:gridCol w:w="1000"/>
        <w:gridCol w:w="3251"/>
      </w:tblGrid>
      <w:tr>
        <w:trPr>
          <w:tblHeader w:val="true"/>
        </w:trPr>
        <w:tc>
          <w:tcPr/>
          <w:p>
            <w:pPr>
              <w:pStyle w:val="Compact"/>
              <w:jc w:val="left"/>
            </w:pPr>
            <w:r>
              <w:t xml:space="preserve">Year</w:t>
            </w:r>
          </w:p>
        </w:tc>
        <w:tc>
          <w:tcPr/>
          <w:p>
            <w:pPr>
              <w:pStyle w:val="Compact"/>
              <w:jc w:val="right"/>
            </w:pPr>
            <w:r>
              <w:t xml:space="preserve">Deaths by Hate Crime</w:t>
            </w:r>
          </w:p>
        </w:tc>
        <w:tc>
          <w:tcPr/>
          <w:p>
            <w:pPr>
              <w:pStyle w:val="Compact"/>
              <w:jc w:val="right"/>
            </w:pPr>
            <w:r>
              <w:t xml:space="preserve">Deaths by Suicide</w:t>
            </w:r>
          </w:p>
        </w:tc>
        <w:tc>
          <w:tcPr/>
          <w:p>
            <w:pPr>
              <w:pStyle w:val="Compact"/>
              <w:jc w:val="right"/>
            </w:pPr>
            <w:r>
              <w:t xml:space="preserve">Hate Crimes</w:t>
            </w:r>
          </w:p>
        </w:tc>
        <w:tc>
          <w:tcPr/>
          <w:p>
            <w:pPr>
              <w:pStyle w:val="Compact"/>
              <w:jc w:val="right"/>
            </w:pPr>
            <w:r>
              <w:t xml:space="preserve">Avg trans care score assinged per year</w:t>
            </w:r>
          </w:p>
        </w:tc>
      </w:tr>
      <w:tr>
        <w:tc>
          <w:tcPr/>
          <w:p>
            <w:pPr>
              <w:pStyle w:val="Compact"/>
              <w:jc w:val="left"/>
            </w:pPr>
            <w:r>
              <w:t xml:space="preserve">1970</w:t>
            </w:r>
          </w:p>
        </w:tc>
        <w:tc>
          <w:tcPr/>
          <w:p>
            <w:pPr>
              <w:pStyle w:val="Compact"/>
              <w:jc w:val="right"/>
            </w:pPr>
            <w:r>
              <w:t xml:space="preserve">1</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1972</w:t>
            </w:r>
          </w:p>
        </w:tc>
        <w:tc>
          <w:tcPr/>
          <w:p>
            <w:pPr>
              <w:pStyle w:val="Compact"/>
              <w:jc w:val="right"/>
            </w:pPr>
            <w:r>
              <w:t xml:space="preserve">1</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1973</w:t>
            </w:r>
          </w:p>
        </w:tc>
        <w:tc>
          <w:tcPr/>
          <w:p>
            <w:pPr>
              <w:pStyle w:val="Compact"/>
              <w:jc w:val="right"/>
            </w:pPr>
            <w:r>
              <w:t xml:space="preserve">2</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1974</w:t>
            </w:r>
          </w:p>
        </w:tc>
        <w:tc>
          <w:tcPr/>
          <w:p>
            <w:pPr>
              <w:pStyle w:val="Compact"/>
              <w:jc w:val="right"/>
            </w:pPr>
            <w:r>
              <w:t xml:space="preserve">2</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1975</w:t>
            </w:r>
          </w:p>
        </w:tc>
        <w:tc>
          <w:tcPr/>
          <w:p>
            <w:pPr>
              <w:pStyle w:val="Compact"/>
              <w:jc w:val="right"/>
            </w:pPr>
            <w:r>
              <w:t xml:space="preserve">4</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1976</w:t>
            </w:r>
          </w:p>
        </w:tc>
        <w:tc>
          <w:tcPr/>
          <w:p>
            <w:pPr>
              <w:pStyle w:val="Compact"/>
              <w:jc w:val="right"/>
            </w:pPr>
            <w:r>
              <w:t xml:space="preserve">3</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1977</w:t>
            </w:r>
          </w:p>
        </w:tc>
        <w:tc>
          <w:tcPr/>
          <w:p>
            <w:pPr>
              <w:pStyle w:val="Compact"/>
              <w:jc w:val="right"/>
            </w:pPr>
            <w:r>
              <w:t xml:space="preserve">6</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1979</w:t>
            </w:r>
          </w:p>
        </w:tc>
        <w:tc>
          <w:tcPr/>
          <w:p>
            <w:pPr>
              <w:pStyle w:val="Compact"/>
              <w:jc w:val="right"/>
            </w:pPr>
            <w:r>
              <w:t xml:space="preserve">3</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1980</w:t>
            </w:r>
          </w:p>
        </w:tc>
        <w:tc>
          <w:tcPr/>
          <w:p>
            <w:pPr>
              <w:pStyle w:val="Compact"/>
              <w:jc w:val="right"/>
            </w:pPr>
            <w:r>
              <w:t xml:space="preserve">2</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1981</w:t>
            </w:r>
          </w:p>
        </w:tc>
        <w:tc>
          <w:tcPr/>
          <w:p>
            <w:pPr>
              <w:pStyle w:val="Compact"/>
              <w:jc w:val="right"/>
            </w:pPr>
            <w:r>
              <w:t xml:space="preserve">5</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1982</w:t>
            </w:r>
          </w:p>
        </w:tc>
        <w:tc>
          <w:tcPr/>
          <w:p>
            <w:pPr>
              <w:pStyle w:val="Compact"/>
              <w:jc w:val="right"/>
            </w:pPr>
            <w:r>
              <w:t xml:space="preserve">1</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1983</w:t>
            </w:r>
          </w:p>
        </w:tc>
        <w:tc>
          <w:tcPr/>
          <w:p>
            <w:pPr>
              <w:pStyle w:val="Compact"/>
              <w:jc w:val="right"/>
            </w:pPr>
            <w:r>
              <w:t xml:space="preserve">2</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1984</w:t>
            </w:r>
          </w:p>
        </w:tc>
        <w:tc>
          <w:tcPr/>
          <w:p>
            <w:pPr>
              <w:pStyle w:val="Compact"/>
              <w:jc w:val="right"/>
            </w:pPr>
            <w:r>
              <w:t xml:space="preserve">1</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1985</w:t>
            </w:r>
          </w:p>
        </w:tc>
        <w:tc>
          <w:tcPr/>
          <w:p>
            <w:pPr>
              <w:pStyle w:val="Compact"/>
              <w:jc w:val="right"/>
            </w:pPr>
            <w:r>
              <w:t xml:space="preserve">7</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1986</w:t>
            </w:r>
          </w:p>
        </w:tc>
        <w:tc>
          <w:tcPr/>
          <w:p>
            <w:pPr>
              <w:pStyle w:val="Compact"/>
              <w:jc w:val="right"/>
            </w:pPr>
            <w:r>
              <w:t xml:space="preserve">8</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1987</w:t>
            </w:r>
          </w:p>
        </w:tc>
        <w:tc>
          <w:tcPr/>
          <w:p>
            <w:pPr>
              <w:pStyle w:val="Compact"/>
              <w:jc w:val="right"/>
            </w:pPr>
            <w:r>
              <w:t xml:space="preserve">5</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1988</w:t>
            </w:r>
          </w:p>
        </w:tc>
        <w:tc>
          <w:tcPr/>
          <w:p>
            <w:pPr>
              <w:pStyle w:val="Compact"/>
              <w:jc w:val="right"/>
            </w:pPr>
            <w:r>
              <w:t xml:space="preserve">7</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1989</w:t>
            </w:r>
          </w:p>
        </w:tc>
        <w:tc>
          <w:tcPr/>
          <w:p>
            <w:pPr>
              <w:pStyle w:val="Compact"/>
              <w:jc w:val="right"/>
            </w:pPr>
            <w:r>
              <w:t xml:space="preserve">5</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1990</w:t>
            </w:r>
          </w:p>
        </w:tc>
        <w:tc>
          <w:tcPr/>
          <w:p>
            <w:pPr>
              <w:pStyle w:val="Compact"/>
              <w:jc w:val="right"/>
            </w:pPr>
            <w:r>
              <w:t xml:space="preserve">13</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1991</w:t>
            </w:r>
          </w:p>
        </w:tc>
        <w:tc>
          <w:tcPr/>
          <w:p>
            <w:pPr>
              <w:pStyle w:val="Compact"/>
              <w:jc w:val="right"/>
            </w:pPr>
            <w:r>
              <w:t xml:space="preserve">13</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1992</w:t>
            </w:r>
          </w:p>
        </w:tc>
        <w:tc>
          <w:tcPr/>
          <w:p>
            <w:pPr>
              <w:pStyle w:val="Compact"/>
              <w:jc w:val="right"/>
            </w:pPr>
            <w:r>
              <w:t xml:space="preserve">10</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1993</w:t>
            </w:r>
          </w:p>
        </w:tc>
        <w:tc>
          <w:tcPr/>
          <w:p>
            <w:pPr>
              <w:pStyle w:val="Compact"/>
              <w:jc w:val="right"/>
            </w:pPr>
            <w:r>
              <w:t xml:space="preserve">15</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1994</w:t>
            </w:r>
          </w:p>
        </w:tc>
        <w:tc>
          <w:tcPr/>
          <w:p>
            <w:pPr>
              <w:pStyle w:val="Compact"/>
              <w:jc w:val="right"/>
            </w:pPr>
            <w:r>
              <w:t xml:space="preserve">5</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1995</w:t>
            </w:r>
          </w:p>
        </w:tc>
        <w:tc>
          <w:tcPr/>
          <w:p>
            <w:pPr>
              <w:pStyle w:val="Compact"/>
              <w:jc w:val="right"/>
            </w:pPr>
            <w:r>
              <w:t xml:space="preserve">12</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1996</w:t>
            </w:r>
          </w:p>
        </w:tc>
        <w:tc>
          <w:tcPr/>
          <w:p>
            <w:pPr>
              <w:pStyle w:val="Compact"/>
              <w:jc w:val="right"/>
            </w:pPr>
            <w:r>
              <w:t xml:space="preserve">8</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1997</w:t>
            </w:r>
          </w:p>
        </w:tc>
        <w:tc>
          <w:tcPr/>
          <w:p>
            <w:pPr>
              <w:pStyle w:val="Compact"/>
              <w:jc w:val="right"/>
            </w:pPr>
            <w:r>
              <w:t xml:space="preserve">9</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1998</w:t>
            </w:r>
          </w:p>
        </w:tc>
        <w:tc>
          <w:tcPr/>
          <w:p>
            <w:pPr>
              <w:pStyle w:val="Compact"/>
              <w:jc w:val="right"/>
            </w:pPr>
            <w:r>
              <w:t xml:space="preserve">10</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1999</w:t>
            </w:r>
          </w:p>
        </w:tc>
        <w:tc>
          <w:tcPr/>
          <w:p>
            <w:pPr>
              <w:pStyle w:val="Compact"/>
              <w:jc w:val="right"/>
            </w:pPr>
            <w:r>
              <w:t xml:space="preserve">14</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2000</w:t>
            </w:r>
          </w:p>
        </w:tc>
        <w:tc>
          <w:tcPr/>
          <w:p>
            <w:pPr>
              <w:pStyle w:val="Compact"/>
              <w:jc w:val="right"/>
            </w:pPr>
            <w:r>
              <w:t xml:space="preserve">11</w:t>
            </w:r>
          </w:p>
        </w:tc>
        <w:tc>
          <w:tcPr/>
          <w:p>
            <w:pPr>
              <w:pStyle w:val="Compact"/>
              <w:jc w:val="right"/>
            </w:pPr>
            <w:r>
              <w:t xml:space="preserve">1</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2001</w:t>
            </w:r>
          </w:p>
        </w:tc>
        <w:tc>
          <w:tcPr/>
          <w:p>
            <w:pPr>
              <w:pStyle w:val="Compact"/>
              <w:jc w:val="right"/>
            </w:pPr>
            <w:r>
              <w:t xml:space="preserve">13</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2002</w:t>
            </w:r>
          </w:p>
        </w:tc>
        <w:tc>
          <w:tcPr/>
          <w:p>
            <w:pPr>
              <w:pStyle w:val="Compact"/>
              <w:jc w:val="right"/>
            </w:pPr>
            <w:r>
              <w:t xml:space="preserve">16</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2003</w:t>
            </w:r>
          </w:p>
        </w:tc>
        <w:tc>
          <w:tcPr/>
          <w:p>
            <w:pPr>
              <w:pStyle w:val="Compact"/>
              <w:jc w:val="right"/>
            </w:pPr>
            <w:r>
              <w:t xml:space="preserve">16</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2004</w:t>
            </w:r>
          </w:p>
        </w:tc>
        <w:tc>
          <w:tcPr/>
          <w:p>
            <w:pPr>
              <w:pStyle w:val="Compact"/>
              <w:jc w:val="right"/>
            </w:pPr>
            <w:r>
              <w:t xml:space="preserve">16</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2005</w:t>
            </w:r>
          </w:p>
        </w:tc>
        <w:tc>
          <w:tcPr/>
          <w:p>
            <w:pPr>
              <w:pStyle w:val="Compact"/>
              <w:jc w:val="right"/>
            </w:pPr>
            <w:r>
              <w:t xml:space="preserve">17</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2006</w:t>
            </w:r>
          </w:p>
        </w:tc>
        <w:tc>
          <w:tcPr/>
          <w:p>
            <w:pPr>
              <w:pStyle w:val="Compact"/>
              <w:jc w:val="right"/>
            </w:pPr>
            <w:r>
              <w:t xml:space="preserve">8</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2007</w:t>
            </w:r>
          </w:p>
        </w:tc>
        <w:tc>
          <w:tcPr/>
          <w:p>
            <w:pPr>
              <w:pStyle w:val="Compact"/>
              <w:jc w:val="right"/>
            </w:pPr>
            <w:r>
              <w:t xml:space="preserve">6</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2008</w:t>
            </w:r>
          </w:p>
        </w:tc>
        <w:tc>
          <w:tcPr/>
          <w:p>
            <w:pPr>
              <w:pStyle w:val="Compact"/>
              <w:jc w:val="right"/>
            </w:pPr>
            <w:r>
              <w:t xml:space="preserve">19</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2009</w:t>
            </w:r>
          </w:p>
        </w:tc>
        <w:tc>
          <w:tcPr/>
          <w:p>
            <w:pPr>
              <w:pStyle w:val="Compact"/>
              <w:jc w:val="right"/>
            </w:pPr>
            <w:r>
              <w:t xml:space="preserve">13</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2010</w:t>
            </w:r>
          </w:p>
        </w:tc>
        <w:tc>
          <w:tcPr/>
          <w:p>
            <w:pPr>
              <w:pStyle w:val="Compact"/>
              <w:jc w:val="right"/>
            </w:pPr>
            <w:r>
              <w:t xml:space="preserve">9</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2011</w:t>
            </w:r>
          </w:p>
        </w:tc>
        <w:tc>
          <w:tcPr/>
          <w:p>
            <w:pPr>
              <w:pStyle w:val="Compact"/>
              <w:jc w:val="right"/>
            </w:pPr>
            <w:r>
              <w:t xml:space="preserve">14</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2012</w:t>
            </w:r>
          </w:p>
        </w:tc>
        <w:tc>
          <w:tcPr/>
          <w:p>
            <w:pPr>
              <w:pStyle w:val="Compact"/>
              <w:jc w:val="right"/>
            </w:pPr>
            <w:r>
              <w:t xml:space="preserve">14</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2013</w:t>
            </w:r>
          </w:p>
        </w:tc>
        <w:tc>
          <w:tcPr/>
          <w:p>
            <w:pPr>
              <w:pStyle w:val="Compact"/>
              <w:jc w:val="right"/>
            </w:pPr>
            <w:r>
              <w:t xml:space="preserve">22</w:t>
            </w:r>
          </w:p>
        </w:tc>
        <w:tc>
          <w:tcPr/>
          <w:p>
            <w:pPr>
              <w:pStyle w:val="Compact"/>
              <w:jc w:val="right"/>
            </w:pPr>
            <w:r>
              <w:t xml:space="preserve">NA</w:t>
            </w:r>
          </w:p>
        </w:tc>
        <w:tc>
          <w:tcPr/>
          <w:p>
            <w:pPr>
              <w:pStyle w:val="Compact"/>
              <w:jc w:val="right"/>
            </w:pPr>
            <w:r>
              <w:t xml:space="preserve">23</w:t>
            </w:r>
          </w:p>
        </w:tc>
        <w:tc>
          <w:tcPr/>
          <w:p>
            <w:pPr>
              <w:pStyle w:val="Compact"/>
              <w:jc w:val="right"/>
            </w:pPr>
            <w:r>
              <w:t xml:space="preserve">NA</w:t>
            </w:r>
          </w:p>
        </w:tc>
      </w:tr>
      <w:tr>
        <w:tc>
          <w:tcPr/>
          <w:p>
            <w:pPr>
              <w:pStyle w:val="Compact"/>
              <w:jc w:val="left"/>
            </w:pPr>
            <w:r>
              <w:t xml:space="preserve">2014</w:t>
            </w:r>
          </w:p>
        </w:tc>
        <w:tc>
          <w:tcPr/>
          <w:p>
            <w:pPr>
              <w:pStyle w:val="Compact"/>
              <w:jc w:val="right"/>
            </w:pPr>
            <w:r>
              <w:t xml:space="preserve">9</w:t>
            </w:r>
          </w:p>
        </w:tc>
        <w:tc>
          <w:tcPr/>
          <w:p>
            <w:pPr>
              <w:pStyle w:val="Compact"/>
              <w:jc w:val="right"/>
            </w:pPr>
            <w:r>
              <w:t xml:space="preserve">2</w:t>
            </w:r>
          </w:p>
        </w:tc>
        <w:tc>
          <w:tcPr/>
          <w:p>
            <w:pPr>
              <w:pStyle w:val="Compact"/>
              <w:jc w:val="right"/>
            </w:pPr>
            <w:r>
              <w:t xml:space="preserve">60</w:t>
            </w:r>
          </w:p>
        </w:tc>
        <w:tc>
          <w:tcPr/>
          <w:p>
            <w:pPr>
              <w:pStyle w:val="Compact"/>
              <w:jc w:val="right"/>
            </w:pPr>
            <w:r>
              <w:t xml:space="preserve">NA</w:t>
            </w:r>
          </w:p>
        </w:tc>
      </w:tr>
      <w:tr>
        <w:tc>
          <w:tcPr/>
          <w:p>
            <w:pPr>
              <w:pStyle w:val="Compact"/>
              <w:jc w:val="left"/>
            </w:pPr>
            <w:r>
              <w:t xml:space="preserve">2015</w:t>
            </w:r>
          </w:p>
        </w:tc>
        <w:tc>
          <w:tcPr/>
          <w:p>
            <w:pPr>
              <w:pStyle w:val="Compact"/>
              <w:jc w:val="right"/>
            </w:pPr>
            <w:r>
              <w:t xml:space="preserve">22</w:t>
            </w:r>
          </w:p>
        </w:tc>
        <w:tc>
          <w:tcPr/>
          <w:p>
            <w:pPr>
              <w:pStyle w:val="Compact"/>
              <w:jc w:val="right"/>
            </w:pPr>
            <w:r>
              <w:t xml:space="preserve">1</w:t>
            </w:r>
          </w:p>
        </w:tc>
        <w:tc>
          <w:tcPr/>
          <w:p>
            <w:pPr>
              <w:pStyle w:val="Compact"/>
              <w:jc w:val="right"/>
            </w:pPr>
            <w:r>
              <w:t xml:space="preserve">73</w:t>
            </w:r>
          </w:p>
        </w:tc>
        <w:tc>
          <w:tcPr/>
          <w:p>
            <w:pPr>
              <w:pStyle w:val="Compact"/>
              <w:jc w:val="right"/>
            </w:pPr>
            <w:r>
              <w:t xml:space="preserve">1.256426</w:t>
            </w:r>
          </w:p>
        </w:tc>
      </w:tr>
      <w:tr>
        <w:tc>
          <w:tcPr/>
          <w:p>
            <w:pPr>
              <w:pStyle w:val="Compact"/>
              <w:jc w:val="left"/>
            </w:pPr>
            <w:r>
              <w:t xml:space="preserve">2016</w:t>
            </w:r>
          </w:p>
        </w:tc>
        <w:tc>
          <w:tcPr/>
          <w:p>
            <w:pPr>
              <w:pStyle w:val="Compact"/>
              <w:jc w:val="right"/>
            </w:pPr>
            <w:r>
              <w:t xml:space="preserve">26</w:t>
            </w:r>
          </w:p>
        </w:tc>
        <w:tc>
          <w:tcPr/>
          <w:p>
            <w:pPr>
              <w:pStyle w:val="Compact"/>
              <w:jc w:val="right"/>
            </w:pPr>
            <w:r>
              <w:t xml:space="preserve">NA</w:t>
            </w:r>
          </w:p>
        </w:tc>
        <w:tc>
          <w:tcPr/>
          <w:p>
            <w:pPr>
              <w:pStyle w:val="Compact"/>
              <w:jc w:val="right"/>
            </w:pPr>
            <w:r>
              <w:t xml:space="preserve">106</w:t>
            </w:r>
          </w:p>
        </w:tc>
        <w:tc>
          <w:tcPr/>
          <w:p>
            <w:pPr>
              <w:pStyle w:val="Compact"/>
              <w:jc w:val="right"/>
            </w:pPr>
            <w:r>
              <w:t xml:space="preserve">1.456626</w:t>
            </w:r>
          </w:p>
        </w:tc>
      </w:tr>
      <w:tr>
        <w:tc>
          <w:tcPr/>
          <w:p>
            <w:pPr>
              <w:pStyle w:val="Compact"/>
              <w:jc w:val="left"/>
            </w:pPr>
            <w:r>
              <w:t xml:space="preserve">2017</w:t>
            </w:r>
          </w:p>
        </w:tc>
        <w:tc>
          <w:tcPr/>
          <w:p>
            <w:pPr>
              <w:pStyle w:val="Compact"/>
              <w:jc w:val="right"/>
            </w:pPr>
            <w:r>
              <w:t xml:space="preserve">29</w:t>
            </w:r>
          </w:p>
        </w:tc>
        <w:tc>
          <w:tcPr/>
          <w:p>
            <w:pPr>
              <w:pStyle w:val="Compact"/>
              <w:jc w:val="right"/>
            </w:pPr>
            <w:r>
              <w:t xml:space="preserve">1</w:t>
            </w:r>
          </w:p>
        </w:tc>
        <w:tc>
          <w:tcPr/>
          <w:p>
            <w:pPr>
              <w:pStyle w:val="Compact"/>
              <w:jc w:val="right"/>
            </w:pPr>
            <w:r>
              <w:t xml:space="preserve">107</w:t>
            </w:r>
          </w:p>
        </w:tc>
        <w:tc>
          <w:tcPr/>
          <w:p>
            <w:pPr>
              <w:pStyle w:val="Compact"/>
              <w:jc w:val="right"/>
            </w:pPr>
            <w:r>
              <w:t xml:space="preserve">1.580235</w:t>
            </w:r>
          </w:p>
        </w:tc>
      </w:tr>
      <w:tr>
        <w:tc>
          <w:tcPr/>
          <w:p>
            <w:pPr>
              <w:pStyle w:val="Compact"/>
              <w:jc w:val="left"/>
            </w:pPr>
            <w:r>
              <w:t xml:space="preserve">2018</w:t>
            </w:r>
          </w:p>
        </w:tc>
        <w:tc>
          <w:tcPr/>
          <w:p>
            <w:pPr>
              <w:pStyle w:val="Compact"/>
              <w:jc w:val="right"/>
            </w:pPr>
            <w:r>
              <w:t xml:space="preserve">27</w:t>
            </w:r>
          </w:p>
        </w:tc>
        <w:tc>
          <w:tcPr/>
          <w:p>
            <w:pPr>
              <w:pStyle w:val="Compact"/>
              <w:jc w:val="right"/>
            </w:pPr>
            <w:r>
              <w:t xml:space="preserve">9</w:t>
            </w:r>
          </w:p>
        </w:tc>
        <w:tc>
          <w:tcPr/>
          <w:p>
            <w:pPr>
              <w:pStyle w:val="Compact"/>
              <w:jc w:val="right"/>
            </w:pPr>
            <w:r>
              <w:t xml:space="preserve">143</w:t>
            </w:r>
          </w:p>
        </w:tc>
        <w:tc>
          <w:tcPr/>
          <w:p>
            <w:pPr>
              <w:pStyle w:val="Compact"/>
              <w:jc w:val="right"/>
            </w:pPr>
            <w:r>
              <w:t xml:space="preserve">1.723092</w:t>
            </w:r>
          </w:p>
        </w:tc>
      </w:tr>
      <w:tr>
        <w:tc>
          <w:tcPr/>
          <w:p>
            <w:pPr>
              <w:pStyle w:val="Compact"/>
              <w:jc w:val="left"/>
            </w:pPr>
            <w:r>
              <w:t xml:space="preserve">2019</w:t>
            </w:r>
          </w:p>
        </w:tc>
        <w:tc>
          <w:tcPr/>
          <w:p>
            <w:pPr>
              <w:pStyle w:val="Compact"/>
              <w:jc w:val="right"/>
            </w:pPr>
            <w:r>
              <w:t xml:space="preserve">27</w:t>
            </w:r>
          </w:p>
        </w:tc>
        <w:tc>
          <w:tcPr/>
          <w:p>
            <w:pPr>
              <w:pStyle w:val="Compact"/>
              <w:jc w:val="right"/>
            </w:pPr>
            <w:r>
              <w:t xml:space="preserve">7</w:t>
            </w:r>
          </w:p>
        </w:tc>
        <w:tc>
          <w:tcPr/>
          <w:p>
            <w:pPr>
              <w:pStyle w:val="Compact"/>
              <w:jc w:val="right"/>
            </w:pPr>
            <w:r>
              <w:t xml:space="preserve">158</w:t>
            </w:r>
          </w:p>
        </w:tc>
        <w:tc>
          <w:tcPr/>
          <w:p>
            <w:pPr>
              <w:pStyle w:val="Compact"/>
              <w:jc w:val="right"/>
            </w:pPr>
            <w:r>
              <w:t xml:space="preserve">1.786595</w:t>
            </w:r>
          </w:p>
        </w:tc>
      </w:tr>
      <w:tr>
        <w:tc>
          <w:tcPr/>
          <w:p>
            <w:pPr>
              <w:pStyle w:val="Compact"/>
              <w:jc w:val="left"/>
            </w:pPr>
            <w:r>
              <w:t xml:space="preserve">2020</w:t>
            </w:r>
          </w:p>
        </w:tc>
        <w:tc>
          <w:tcPr/>
          <w:p>
            <w:pPr>
              <w:pStyle w:val="Compact"/>
              <w:jc w:val="right"/>
            </w:pPr>
            <w:r>
              <w:t xml:space="preserve">36</w:t>
            </w:r>
          </w:p>
        </w:tc>
        <w:tc>
          <w:tcPr/>
          <w:p>
            <w:pPr>
              <w:pStyle w:val="Compact"/>
              <w:jc w:val="right"/>
            </w:pPr>
            <w:r>
              <w:t xml:space="preserve">8</w:t>
            </w:r>
          </w:p>
        </w:tc>
        <w:tc>
          <w:tcPr/>
          <w:p>
            <w:pPr>
              <w:pStyle w:val="Compact"/>
              <w:jc w:val="right"/>
            </w:pPr>
            <w:r>
              <w:t xml:space="preserve">224</w:t>
            </w:r>
          </w:p>
        </w:tc>
        <w:tc>
          <w:tcPr/>
          <w:p>
            <w:pPr>
              <w:pStyle w:val="Compact"/>
              <w:jc w:val="right"/>
            </w:pPr>
            <w:r>
              <w:t xml:space="preserve">1.926961</w:t>
            </w:r>
          </w:p>
        </w:tc>
      </w:tr>
    </w:tbl>
    <w:p>
      <w:pPr>
        <w:pStyle w:val="BodyText"/>
      </w:pPr>
      <w:r>
        <w:t xml:space="preserve">This first table is an example of the trend I talked about in the summary, the more recent, the more data we have.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State</w:t>
            </w:r>
          </w:p>
        </w:tc>
        <w:tc>
          <w:tcPr/>
          <w:p>
            <w:pPr>
              <w:pStyle w:val="Compact"/>
              <w:jc w:val="right"/>
            </w:pPr>
            <w:r>
              <w:t xml:space="preserve">Average Score</w:t>
            </w:r>
          </w:p>
        </w:tc>
        <w:tc>
          <w:tcPr/>
          <w:p>
            <w:pPr>
              <w:pStyle w:val="Compact"/>
              <w:jc w:val="right"/>
            </w:pPr>
            <w:r>
              <w:t xml:space="preserve">Hate Crimes</w:t>
            </w:r>
          </w:p>
        </w:tc>
      </w:tr>
      <w:tr>
        <w:tc>
          <w:tcPr/>
          <w:p>
            <w:pPr>
              <w:pStyle w:val="Compact"/>
              <w:jc w:val="left"/>
            </w:pPr>
            <w:r>
              <w:t xml:space="preserve">AK</w:t>
            </w:r>
          </w:p>
        </w:tc>
        <w:tc>
          <w:tcPr/>
          <w:p>
            <w:pPr>
              <w:pStyle w:val="Compact"/>
              <w:jc w:val="right"/>
            </w:pPr>
            <w:r>
              <w:t xml:space="preserve">2.00</w:t>
            </w:r>
          </w:p>
        </w:tc>
        <w:tc>
          <w:tcPr/>
          <w:p>
            <w:pPr>
              <w:pStyle w:val="Compact"/>
              <w:jc w:val="right"/>
            </w:pPr>
            <w:r>
              <w:t xml:space="preserve">1</w:t>
            </w:r>
          </w:p>
        </w:tc>
      </w:tr>
      <w:tr>
        <w:tc>
          <w:tcPr/>
          <w:p>
            <w:pPr>
              <w:pStyle w:val="Compact"/>
              <w:jc w:val="left"/>
            </w:pPr>
            <w:r>
              <w:t xml:space="preserve">AL</w:t>
            </w:r>
          </w:p>
        </w:tc>
        <w:tc>
          <w:tcPr/>
          <w:p>
            <w:pPr>
              <w:pStyle w:val="Compact"/>
              <w:jc w:val="right"/>
            </w:pPr>
            <w:r>
              <w:t xml:space="preserve">2.00</w:t>
            </w:r>
          </w:p>
        </w:tc>
        <w:tc>
          <w:tcPr/>
          <w:p>
            <w:pPr>
              <w:pStyle w:val="Compact"/>
              <w:jc w:val="right"/>
            </w:pPr>
            <w:r>
              <w:t xml:space="preserve">NA</w:t>
            </w:r>
          </w:p>
        </w:tc>
      </w:tr>
      <w:tr>
        <w:tc>
          <w:tcPr/>
          <w:p>
            <w:pPr>
              <w:pStyle w:val="Compact"/>
              <w:jc w:val="left"/>
            </w:pPr>
            <w:r>
              <w:t xml:space="preserve">AR</w:t>
            </w:r>
          </w:p>
        </w:tc>
        <w:tc>
          <w:tcPr/>
          <w:p>
            <w:pPr>
              <w:pStyle w:val="Compact"/>
              <w:jc w:val="right"/>
            </w:pPr>
            <w:r>
              <w:t xml:space="preserve">2.00</w:t>
            </w:r>
          </w:p>
        </w:tc>
        <w:tc>
          <w:tcPr/>
          <w:p>
            <w:pPr>
              <w:pStyle w:val="Compact"/>
              <w:jc w:val="right"/>
            </w:pPr>
            <w:r>
              <w:t xml:space="preserve">2</w:t>
            </w:r>
          </w:p>
        </w:tc>
      </w:tr>
      <w:tr>
        <w:tc>
          <w:tcPr/>
          <w:p>
            <w:pPr>
              <w:pStyle w:val="Compact"/>
              <w:jc w:val="left"/>
            </w:pPr>
            <w:r>
              <w:t xml:space="preserve">AS</w:t>
            </w:r>
          </w:p>
        </w:tc>
        <w:tc>
          <w:tcPr/>
          <w:p>
            <w:pPr>
              <w:pStyle w:val="Compact"/>
              <w:jc w:val="right"/>
            </w:pPr>
            <w:r>
              <w:t xml:space="preserve">2.00</w:t>
            </w:r>
          </w:p>
        </w:tc>
        <w:tc>
          <w:tcPr/>
          <w:p>
            <w:pPr>
              <w:pStyle w:val="Compact"/>
              <w:jc w:val="right"/>
            </w:pPr>
            <w:r>
              <w:t xml:space="preserve">NA</w:t>
            </w:r>
          </w:p>
        </w:tc>
      </w:tr>
      <w:tr>
        <w:tc>
          <w:tcPr/>
          <w:p>
            <w:pPr>
              <w:pStyle w:val="Compact"/>
              <w:jc w:val="left"/>
            </w:pPr>
            <w:r>
              <w:t xml:space="preserve">AZ</w:t>
            </w:r>
          </w:p>
        </w:tc>
        <w:tc>
          <w:tcPr/>
          <w:p>
            <w:pPr>
              <w:pStyle w:val="Compact"/>
              <w:jc w:val="right"/>
            </w:pPr>
            <w:r>
              <w:t xml:space="preserve">2.34</w:t>
            </w:r>
          </w:p>
        </w:tc>
        <w:tc>
          <w:tcPr/>
          <w:p>
            <w:pPr>
              <w:pStyle w:val="Compact"/>
              <w:jc w:val="right"/>
            </w:pPr>
            <w:r>
              <w:t xml:space="preserve">14</w:t>
            </w:r>
          </w:p>
        </w:tc>
      </w:tr>
      <w:tr>
        <w:tc>
          <w:tcPr/>
          <w:p>
            <w:pPr>
              <w:pStyle w:val="Compact"/>
              <w:jc w:val="left"/>
            </w:pPr>
            <w:r>
              <w:t xml:space="preserve">CA</w:t>
            </w:r>
          </w:p>
        </w:tc>
        <w:tc>
          <w:tcPr/>
          <w:p>
            <w:pPr>
              <w:pStyle w:val="Compact"/>
              <w:jc w:val="right"/>
            </w:pPr>
            <w:r>
              <w:t xml:space="preserve">2.00</w:t>
            </w:r>
          </w:p>
        </w:tc>
        <w:tc>
          <w:tcPr/>
          <w:p>
            <w:pPr>
              <w:pStyle w:val="Compact"/>
              <w:jc w:val="right"/>
            </w:pPr>
            <w:r>
              <w:t xml:space="preserve">206</w:t>
            </w:r>
          </w:p>
        </w:tc>
      </w:tr>
      <w:tr>
        <w:tc>
          <w:tcPr/>
          <w:p>
            <w:pPr>
              <w:pStyle w:val="Compact"/>
              <w:jc w:val="left"/>
            </w:pPr>
            <w:r>
              <w:t xml:space="preserve">CM</w:t>
            </w:r>
          </w:p>
        </w:tc>
        <w:tc>
          <w:tcPr/>
          <w:p>
            <w:pPr>
              <w:pStyle w:val="Compact"/>
              <w:jc w:val="right"/>
            </w:pPr>
            <w:r>
              <w:t xml:space="preserve">2.00</w:t>
            </w:r>
          </w:p>
        </w:tc>
        <w:tc>
          <w:tcPr/>
          <w:p>
            <w:pPr>
              <w:pStyle w:val="Compact"/>
              <w:jc w:val="right"/>
            </w:pPr>
            <w:r>
              <w:t xml:space="preserve">NA</w:t>
            </w:r>
          </w:p>
        </w:tc>
      </w:tr>
      <w:tr>
        <w:tc>
          <w:tcPr/>
          <w:p>
            <w:pPr>
              <w:pStyle w:val="Compact"/>
              <w:jc w:val="left"/>
            </w:pPr>
            <w:r>
              <w:t xml:space="preserve">CO</w:t>
            </w:r>
          </w:p>
        </w:tc>
        <w:tc>
          <w:tcPr/>
          <w:p>
            <w:pPr>
              <w:pStyle w:val="Compact"/>
              <w:jc w:val="right"/>
            </w:pPr>
            <w:r>
              <w:t xml:space="preserve">1.95</w:t>
            </w:r>
          </w:p>
        </w:tc>
        <w:tc>
          <w:tcPr/>
          <w:p>
            <w:pPr>
              <w:pStyle w:val="Compact"/>
              <w:jc w:val="right"/>
            </w:pPr>
            <w:r>
              <w:t xml:space="preserve">22</w:t>
            </w:r>
          </w:p>
        </w:tc>
      </w:tr>
      <w:tr>
        <w:tc>
          <w:tcPr/>
          <w:p>
            <w:pPr>
              <w:pStyle w:val="Compact"/>
              <w:jc w:val="left"/>
            </w:pPr>
            <w:r>
              <w:t xml:space="preserve">CT</w:t>
            </w:r>
          </w:p>
        </w:tc>
        <w:tc>
          <w:tcPr/>
          <w:p>
            <w:pPr>
              <w:pStyle w:val="Compact"/>
              <w:jc w:val="right"/>
            </w:pPr>
            <w:r>
              <w:t xml:space="preserve">1.15</w:t>
            </w:r>
          </w:p>
        </w:tc>
        <w:tc>
          <w:tcPr/>
          <w:p>
            <w:pPr>
              <w:pStyle w:val="Compact"/>
              <w:jc w:val="right"/>
            </w:pPr>
            <w:r>
              <w:t xml:space="preserve">1</w:t>
            </w:r>
          </w:p>
        </w:tc>
      </w:tr>
      <w:tr>
        <w:tc>
          <w:tcPr/>
          <w:p>
            <w:pPr>
              <w:pStyle w:val="Compact"/>
              <w:jc w:val="left"/>
            </w:pPr>
            <w:r>
              <w:t xml:space="preserve">DC</w:t>
            </w:r>
          </w:p>
        </w:tc>
        <w:tc>
          <w:tcPr/>
          <w:p>
            <w:pPr>
              <w:pStyle w:val="Compact"/>
              <w:jc w:val="right"/>
            </w:pPr>
            <w:r>
              <w:t xml:space="preserve">2.00</w:t>
            </w:r>
          </w:p>
        </w:tc>
        <w:tc>
          <w:tcPr/>
          <w:p>
            <w:pPr>
              <w:pStyle w:val="Compact"/>
              <w:jc w:val="right"/>
            </w:pPr>
            <w:r>
              <w:t xml:space="preserve">156</w:t>
            </w:r>
          </w:p>
        </w:tc>
      </w:tr>
      <w:tr>
        <w:tc>
          <w:tcPr/>
          <w:p>
            <w:pPr>
              <w:pStyle w:val="Compact"/>
              <w:jc w:val="left"/>
            </w:pPr>
            <w:r>
              <w:t xml:space="preserve">DE</w:t>
            </w:r>
          </w:p>
        </w:tc>
        <w:tc>
          <w:tcPr/>
          <w:p>
            <w:pPr>
              <w:pStyle w:val="Compact"/>
              <w:jc w:val="right"/>
            </w:pPr>
            <w:r>
              <w:t xml:space="preserve">0.91</w:t>
            </w:r>
          </w:p>
        </w:tc>
        <w:tc>
          <w:tcPr/>
          <w:p>
            <w:pPr>
              <w:pStyle w:val="Compact"/>
              <w:jc w:val="right"/>
            </w:pPr>
            <w:r>
              <w:t xml:space="preserve">2</w:t>
            </w:r>
          </w:p>
        </w:tc>
      </w:tr>
      <w:tr>
        <w:tc>
          <w:tcPr/>
          <w:p>
            <w:pPr>
              <w:pStyle w:val="Compact"/>
              <w:jc w:val="left"/>
            </w:pPr>
            <w:r>
              <w:t xml:space="preserve">FL</w:t>
            </w:r>
          </w:p>
        </w:tc>
        <w:tc>
          <w:tcPr/>
          <w:p>
            <w:pPr>
              <w:pStyle w:val="Compact"/>
              <w:jc w:val="right"/>
            </w:pPr>
            <w:r>
              <w:t xml:space="preserve">2.00</w:t>
            </w:r>
          </w:p>
        </w:tc>
        <w:tc>
          <w:tcPr/>
          <w:p>
            <w:pPr>
              <w:pStyle w:val="Compact"/>
              <w:jc w:val="right"/>
            </w:pPr>
            <w:r>
              <w:t xml:space="preserve">8</w:t>
            </w:r>
          </w:p>
        </w:tc>
      </w:tr>
      <w:tr>
        <w:tc>
          <w:tcPr/>
          <w:p>
            <w:pPr>
              <w:pStyle w:val="Compact"/>
              <w:jc w:val="left"/>
            </w:pPr>
            <w:r>
              <w:t xml:space="preserve">GA</w:t>
            </w:r>
          </w:p>
        </w:tc>
        <w:tc>
          <w:tcPr/>
          <w:p>
            <w:pPr>
              <w:pStyle w:val="Compact"/>
              <w:jc w:val="right"/>
            </w:pPr>
            <w:r>
              <w:t xml:space="preserve">2.00</w:t>
            </w:r>
          </w:p>
        </w:tc>
        <w:tc>
          <w:tcPr/>
          <w:p>
            <w:pPr>
              <w:pStyle w:val="Compact"/>
              <w:jc w:val="right"/>
            </w:pPr>
            <w:r>
              <w:t xml:space="preserve">3</w:t>
            </w:r>
          </w:p>
        </w:tc>
      </w:tr>
      <w:tr>
        <w:tc>
          <w:tcPr/>
          <w:p>
            <w:pPr>
              <w:pStyle w:val="Compact"/>
              <w:jc w:val="left"/>
            </w:pPr>
            <w:r>
              <w:t xml:space="preserve">GU</w:t>
            </w:r>
          </w:p>
        </w:tc>
        <w:tc>
          <w:tcPr/>
          <w:p>
            <w:pPr>
              <w:pStyle w:val="Compact"/>
              <w:jc w:val="right"/>
            </w:pPr>
            <w:r>
              <w:t xml:space="preserve">2.00</w:t>
            </w:r>
          </w:p>
        </w:tc>
        <w:tc>
          <w:tcPr/>
          <w:p>
            <w:pPr>
              <w:pStyle w:val="Compact"/>
              <w:jc w:val="right"/>
            </w:pPr>
            <w:r>
              <w:t xml:space="preserve">NA</w:t>
            </w:r>
          </w:p>
        </w:tc>
      </w:tr>
      <w:tr>
        <w:tc>
          <w:tcPr/>
          <w:p>
            <w:pPr>
              <w:pStyle w:val="Compact"/>
              <w:jc w:val="left"/>
            </w:pPr>
            <w:r>
              <w:t xml:space="preserve">HI</w:t>
            </w:r>
          </w:p>
        </w:tc>
        <w:tc>
          <w:tcPr/>
          <w:p>
            <w:pPr>
              <w:pStyle w:val="Compact"/>
              <w:jc w:val="right"/>
            </w:pPr>
            <w:r>
              <w:t xml:space="preserve">0.93</w:t>
            </w:r>
          </w:p>
        </w:tc>
        <w:tc>
          <w:tcPr/>
          <w:p>
            <w:pPr>
              <w:pStyle w:val="Compact"/>
              <w:jc w:val="right"/>
            </w:pPr>
            <w:r>
              <w:t xml:space="preserve">1</w:t>
            </w:r>
          </w:p>
        </w:tc>
      </w:tr>
      <w:tr>
        <w:tc>
          <w:tcPr/>
          <w:p>
            <w:pPr>
              <w:pStyle w:val="Compact"/>
              <w:jc w:val="left"/>
            </w:pPr>
            <w:r>
              <w:t xml:space="preserve">IA</w:t>
            </w:r>
          </w:p>
        </w:tc>
        <w:tc>
          <w:tcPr/>
          <w:p>
            <w:pPr>
              <w:pStyle w:val="Compact"/>
              <w:jc w:val="right"/>
            </w:pPr>
            <w:r>
              <w:t xml:space="preserve">1.31</w:t>
            </w:r>
          </w:p>
        </w:tc>
        <w:tc>
          <w:tcPr/>
          <w:p>
            <w:pPr>
              <w:pStyle w:val="Compact"/>
              <w:jc w:val="right"/>
            </w:pPr>
            <w:r>
              <w:t xml:space="preserve">NA</w:t>
            </w:r>
          </w:p>
        </w:tc>
      </w:tr>
      <w:tr>
        <w:tc>
          <w:tcPr/>
          <w:p>
            <w:pPr>
              <w:pStyle w:val="Compact"/>
              <w:jc w:val="left"/>
            </w:pPr>
            <w:r>
              <w:t xml:space="preserve">ID</w:t>
            </w:r>
          </w:p>
        </w:tc>
        <w:tc>
          <w:tcPr/>
          <w:p>
            <w:pPr>
              <w:pStyle w:val="Compact"/>
              <w:jc w:val="right"/>
            </w:pPr>
            <w:r>
              <w:t xml:space="preserve">2.00</w:t>
            </w:r>
          </w:p>
        </w:tc>
        <w:tc>
          <w:tcPr/>
          <w:p>
            <w:pPr>
              <w:pStyle w:val="Compact"/>
              <w:jc w:val="right"/>
            </w:pPr>
            <w:r>
              <w:t xml:space="preserve">1</w:t>
            </w:r>
          </w:p>
        </w:tc>
      </w:tr>
      <w:tr>
        <w:tc>
          <w:tcPr/>
          <w:p>
            <w:pPr>
              <w:pStyle w:val="Compact"/>
              <w:jc w:val="left"/>
            </w:pPr>
            <w:r>
              <w:t xml:space="preserve">IL</w:t>
            </w:r>
          </w:p>
        </w:tc>
        <w:tc>
          <w:tcPr/>
          <w:p>
            <w:pPr>
              <w:pStyle w:val="Compact"/>
              <w:jc w:val="right"/>
            </w:pPr>
            <w:r>
              <w:t xml:space="preserve">2.61</w:t>
            </w:r>
          </w:p>
        </w:tc>
        <w:tc>
          <w:tcPr/>
          <w:p>
            <w:pPr>
              <w:pStyle w:val="Compact"/>
              <w:jc w:val="right"/>
            </w:pPr>
            <w:r>
              <w:t xml:space="preserve">20</w:t>
            </w:r>
          </w:p>
        </w:tc>
      </w:tr>
      <w:tr>
        <w:tc>
          <w:tcPr/>
          <w:p>
            <w:pPr>
              <w:pStyle w:val="Compact"/>
              <w:jc w:val="left"/>
            </w:pPr>
            <w:r>
              <w:t xml:space="preserve">IN</w:t>
            </w:r>
          </w:p>
        </w:tc>
        <w:tc>
          <w:tcPr/>
          <w:p>
            <w:pPr>
              <w:pStyle w:val="Compact"/>
              <w:jc w:val="right"/>
            </w:pPr>
            <w:r>
              <w:t xml:space="preserve">2.00</w:t>
            </w:r>
          </w:p>
        </w:tc>
        <w:tc>
          <w:tcPr/>
          <w:p>
            <w:pPr>
              <w:pStyle w:val="Compact"/>
              <w:jc w:val="right"/>
            </w:pPr>
            <w:r>
              <w:t xml:space="preserve">3</w:t>
            </w:r>
          </w:p>
        </w:tc>
      </w:tr>
      <w:tr>
        <w:tc>
          <w:tcPr/>
          <w:p>
            <w:pPr>
              <w:pStyle w:val="Compact"/>
              <w:jc w:val="left"/>
            </w:pPr>
            <w:r>
              <w:t xml:space="preserve">KS</w:t>
            </w:r>
          </w:p>
        </w:tc>
        <w:tc>
          <w:tcPr/>
          <w:p>
            <w:pPr>
              <w:pStyle w:val="Compact"/>
              <w:jc w:val="right"/>
            </w:pPr>
            <w:r>
              <w:t xml:space="preserve">2.00</w:t>
            </w:r>
          </w:p>
        </w:tc>
        <w:tc>
          <w:tcPr/>
          <w:p>
            <w:pPr>
              <w:pStyle w:val="Compact"/>
              <w:jc w:val="right"/>
            </w:pPr>
            <w:r>
              <w:t xml:space="preserve">2</w:t>
            </w:r>
          </w:p>
        </w:tc>
      </w:tr>
      <w:tr>
        <w:tc>
          <w:tcPr/>
          <w:p>
            <w:pPr>
              <w:pStyle w:val="Compact"/>
              <w:jc w:val="left"/>
            </w:pPr>
            <w:r>
              <w:t xml:space="preserve">KY</w:t>
            </w:r>
          </w:p>
        </w:tc>
        <w:tc>
          <w:tcPr/>
          <w:p>
            <w:pPr>
              <w:pStyle w:val="Compact"/>
              <w:jc w:val="right"/>
            </w:pPr>
            <w:r>
              <w:t xml:space="preserve">2.00</w:t>
            </w:r>
          </w:p>
        </w:tc>
        <w:tc>
          <w:tcPr/>
          <w:p>
            <w:pPr>
              <w:pStyle w:val="Compact"/>
              <w:jc w:val="right"/>
            </w:pPr>
            <w:r>
              <w:t xml:space="preserve">15</w:t>
            </w:r>
          </w:p>
        </w:tc>
      </w:tr>
      <w:tr>
        <w:tc>
          <w:tcPr/>
          <w:p>
            <w:pPr>
              <w:pStyle w:val="Compact"/>
              <w:jc w:val="left"/>
            </w:pPr>
            <w:r>
              <w:t xml:space="preserve">LA</w:t>
            </w:r>
          </w:p>
        </w:tc>
        <w:tc>
          <w:tcPr/>
          <w:p>
            <w:pPr>
              <w:pStyle w:val="Compact"/>
              <w:jc w:val="right"/>
            </w:pPr>
            <w:r>
              <w:t xml:space="preserve">2.00</w:t>
            </w:r>
          </w:p>
        </w:tc>
        <w:tc>
          <w:tcPr/>
          <w:p>
            <w:pPr>
              <w:pStyle w:val="Compact"/>
              <w:jc w:val="right"/>
            </w:pPr>
            <w:r>
              <w:t xml:space="preserve">NA</w:t>
            </w:r>
          </w:p>
        </w:tc>
      </w:tr>
      <w:tr>
        <w:tc>
          <w:tcPr/>
          <w:p>
            <w:pPr>
              <w:pStyle w:val="Compact"/>
              <w:jc w:val="left"/>
            </w:pPr>
            <w:r>
              <w:t xml:space="preserve">MA</w:t>
            </w:r>
          </w:p>
        </w:tc>
        <w:tc>
          <w:tcPr/>
          <w:p>
            <w:pPr>
              <w:pStyle w:val="Compact"/>
              <w:jc w:val="right"/>
            </w:pPr>
            <w:r>
              <w:t xml:space="preserve">1.15</w:t>
            </w:r>
          </w:p>
        </w:tc>
        <w:tc>
          <w:tcPr/>
          <w:p>
            <w:pPr>
              <w:pStyle w:val="Compact"/>
              <w:jc w:val="right"/>
            </w:pPr>
            <w:r>
              <w:t xml:space="preserve">57</w:t>
            </w:r>
          </w:p>
        </w:tc>
      </w:tr>
      <w:tr>
        <w:tc>
          <w:tcPr/>
          <w:p>
            <w:pPr>
              <w:pStyle w:val="Compact"/>
              <w:jc w:val="left"/>
            </w:pPr>
            <w:r>
              <w:t xml:space="preserve">MD</w:t>
            </w:r>
          </w:p>
        </w:tc>
        <w:tc>
          <w:tcPr/>
          <w:p>
            <w:pPr>
              <w:pStyle w:val="Compact"/>
              <w:jc w:val="right"/>
            </w:pPr>
            <w:r>
              <w:t xml:space="preserve">1.68</w:t>
            </w:r>
          </w:p>
        </w:tc>
        <w:tc>
          <w:tcPr/>
          <w:p>
            <w:pPr>
              <w:pStyle w:val="Compact"/>
              <w:jc w:val="right"/>
            </w:pPr>
            <w:r>
              <w:t xml:space="preserve">10</w:t>
            </w:r>
          </w:p>
        </w:tc>
      </w:tr>
      <w:tr>
        <w:tc>
          <w:tcPr/>
          <w:p>
            <w:pPr>
              <w:pStyle w:val="Compact"/>
              <w:jc w:val="left"/>
            </w:pPr>
            <w:r>
              <w:t xml:space="preserve">ME</w:t>
            </w:r>
          </w:p>
        </w:tc>
        <w:tc>
          <w:tcPr/>
          <w:p>
            <w:pPr>
              <w:pStyle w:val="Compact"/>
              <w:jc w:val="right"/>
            </w:pPr>
            <w:r>
              <w:t xml:space="preserve">1.02</w:t>
            </w:r>
          </w:p>
        </w:tc>
        <w:tc>
          <w:tcPr/>
          <w:p>
            <w:pPr>
              <w:pStyle w:val="Compact"/>
              <w:jc w:val="right"/>
            </w:pPr>
            <w:r>
              <w:t xml:space="preserve">4</w:t>
            </w:r>
          </w:p>
        </w:tc>
      </w:tr>
      <w:tr>
        <w:tc>
          <w:tcPr/>
          <w:p>
            <w:pPr>
              <w:pStyle w:val="Compact"/>
              <w:jc w:val="left"/>
            </w:pPr>
            <w:r>
              <w:t xml:space="preserve">MI</w:t>
            </w:r>
          </w:p>
        </w:tc>
        <w:tc>
          <w:tcPr/>
          <w:p>
            <w:pPr>
              <w:pStyle w:val="Compact"/>
              <w:jc w:val="right"/>
            </w:pPr>
            <w:r>
              <w:t xml:space="preserve">0.14</w:t>
            </w:r>
          </w:p>
        </w:tc>
        <w:tc>
          <w:tcPr/>
          <w:p>
            <w:pPr>
              <w:pStyle w:val="Compact"/>
              <w:jc w:val="right"/>
            </w:pPr>
            <w:r>
              <w:t xml:space="preserve">11</w:t>
            </w:r>
          </w:p>
        </w:tc>
      </w:tr>
      <w:tr>
        <w:tc>
          <w:tcPr/>
          <w:p>
            <w:pPr>
              <w:pStyle w:val="Compact"/>
              <w:jc w:val="left"/>
            </w:pPr>
            <w:r>
              <w:t xml:space="preserve">MN</w:t>
            </w:r>
          </w:p>
        </w:tc>
        <w:tc>
          <w:tcPr/>
          <w:p>
            <w:pPr>
              <w:pStyle w:val="Compact"/>
              <w:jc w:val="right"/>
            </w:pPr>
            <w:r>
              <w:t xml:space="preserve">1.26</w:t>
            </w:r>
          </w:p>
        </w:tc>
        <w:tc>
          <w:tcPr/>
          <w:p>
            <w:pPr>
              <w:pStyle w:val="Compact"/>
              <w:jc w:val="right"/>
            </w:pPr>
            <w:r>
              <w:t xml:space="preserve">4</w:t>
            </w:r>
          </w:p>
        </w:tc>
      </w:tr>
      <w:tr>
        <w:tc>
          <w:tcPr/>
          <w:p>
            <w:pPr>
              <w:pStyle w:val="Compact"/>
              <w:jc w:val="left"/>
            </w:pPr>
            <w:r>
              <w:t xml:space="preserve">MO</w:t>
            </w:r>
          </w:p>
        </w:tc>
        <w:tc>
          <w:tcPr/>
          <w:p>
            <w:pPr>
              <w:pStyle w:val="Compact"/>
              <w:jc w:val="right"/>
            </w:pPr>
            <w:r>
              <w:t xml:space="preserve">2.00</w:t>
            </w:r>
          </w:p>
        </w:tc>
        <w:tc>
          <w:tcPr/>
          <w:p>
            <w:pPr>
              <w:pStyle w:val="Compact"/>
              <w:jc w:val="right"/>
            </w:pPr>
            <w:r>
              <w:t xml:space="preserve">10</w:t>
            </w:r>
          </w:p>
        </w:tc>
      </w:tr>
      <w:tr>
        <w:tc>
          <w:tcPr/>
          <w:p>
            <w:pPr>
              <w:pStyle w:val="Compact"/>
              <w:jc w:val="left"/>
            </w:pPr>
            <w:r>
              <w:t xml:space="preserve">MS</w:t>
            </w:r>
          </w:p>
        </w:tc>
        <w:tc>
          <w:tcPr/>
          <w:p>
            <w:pPr>
              <w:pStyle w:val="Compact"/>
              <w:jc w:val="right"/>
            </w:pPr>
            <w:r>
              <w:t xml:space="preserve">2.00</w:t>
            </w:r>
          </w:p>
        </w:tc>
        <w:tc>
          <w:tcPr/>
          <w:p>
            <w:pPr>
              <w:pStyle w:val="Compact"/>
              <w:jc w:val="right"/>
            </w:pPr>
            <w:r>
              <w:t xml:space="preserve">NA</w:t>
            </w:r>
          </w:p>
        </w:tc>
      </w:tr>
      <w:tr>
        <w:tc>
          <w:tcPr/>
          <w:p>
            <w:pPr>
              <w:pStyle w:val="Compact"/>
              <w:jc w:val="left"/>
            </w:pPr>
            <w:r>
              <w:t xml:space="preserve">MT</w:t>
            </w:r>
          </w:p>
        </w:tc>
        <w:tc>
          <w:tcPr/>
          <w:p>
            <w:pPr>
              <w:pStyle w:val="Compact"/>
              <w:jc w:val="right"/>
            </w:pPr>
            <w:r>
              <w:t xml:space="preserve">1.28</w:t>
            </w:r>
          </w:p>
        </w:tc>
        <w:tc>
          <w:tcPr/>
          <w:p>
            <w:pPr>
              <w:pStyle w:val="Compact"/>
              <w:jc w:val="right"/>
            </w:pPr>
            <w:r>
              <w:t xml:space="preserve">5</w:t>
            </w:r>
          </w:p>
        </w:tc>
      </w:tr>
      <w:tr>
        <w:tc>
          <w:tcPr/>
          <w:p>
            <w:pPr>
              <w:pStyle w:val="Compact"/>
              <w:jc w:val="left"/>
            </w:pPr>
            <w:r>
              <w:t xml:space="preserve">NC</w:t>
            </w:r>
          </w:p>
        </w:tc>
        <w:tc>
          <w:tcPr/>
          <w:p>
            <w:pPr>
              <w:pStyle w:val="Compact"/>
              <w:jc w:val="right"/>
            </w:pPr>
            <w:r>
              <w:t xml:space="preserve">2.00</w:t>
            </w:r>
          </w:p>
        </w:tc>
        <w:tc>
          <w:tcPr/>
          <w:p>
            <w:pPr>
              <w:pStyle w:val="Compact"/>
              <w:jc w:val="right"/>
            </w:pPr>
            <w:r>
              <w:t xml:space="preserve">3</w:t>
            </w:r>
          </w:p>
        </w:tc>
      </w:tr>
      <w:tr>
        <w:tc>
          <w:tcPr/>
          <w:p>
            <w:pPr>
              <w:pStyle w:val="Compact"/>
              <w:jc w:val="left"/>
            </w:pPr>
            <w:r>
              <w:t xml:space="preserve">ND</w:t>
            </w:r>
          </w:p>
        </w:tc>
        <w:tc>
          <w:tcPr/>
          <w:p>
            <w:pPr>
              <w:pStyle w:val="Compact"/>
              <w:jc w:val="right"/>
            </w:pPr>
            <w:r>
              <w:t xml:space="preserve">2.00</w:t>
            </w:r>
          </w:p>
        </w:tc>
        <w:tc>
          <w:tcPr/>
          <w:p>
            <w:pPr>
              <w:pStyle w:val="Compact"/>
              <w:jc w:val="right"/>
            </w:pPr>
            <w:r>
              <w:t xml:space="preserve">1</w:t>
            </w:r>
          </w:p>
        </w:tc>
      </w:tr>
      <w:tr>
        <w:tc>
          <w:tcPr/>
          <w:p>
            <w:pPr>
              <w:pStyle w:val="Compact"/>
              <w:jc w:val="left"/>
            </w:pPr>
            <w:r>
              <w:t xml:space="preserve">NE</w:t>
            </w:r>
          </w:p>
        </w:tc>
        <w:tc>
          <w:tcPr/>
          <w:p>
            <w:pPr>
              <w:pStyle w:val="Compact"/>
              <w:jc w:val="right"/>
            </w:pPr>
            <w:r>
              <w:t xml:space="preserve">2.00</w:t>
            </w:r>
          </w:p>
        </w:tc>
        <w:tc>
          <w:tcPr/>
          <w:p>
            <w:pPr>
              <w:pStyle w:val="Compact"/>
              <w:jc w:val="right"/>
            </w:pPr>
            <w:r>
              <w:t xml:space="preserve">NA</w:t>
            </w:r>
          </w:p>
        </w:tc>
      </w:tr>
      <w:tr>
        <w:tc>
          <w:tcPr/>
          <w:p>
            <w:pPr>
              <w:pStyle w:val="Compact"/>
              <w:jc w:val="left"/>
            </w:pPr>
            <w:r>
              <w:t xml:space="preserve">NH</w:t>
            </w:r>
          </w:p>
        </w:tc>
        <w:tc>
          <w:tcPr/>
          <w:p>
            <w:pPr>
              <w:pStyle w:val="Compact"/>
              <w:jc w:val="right"/>
            </w:pPr>
            <w:r>
              <w:t xml:space="preserve">-0.26</w:t>
            </w:r>
          </w:p>
        </w:tc>
        <w:tc>
          <w:tcPr/>
          <w:p>
            <w:pPr>
              <w:pStyle w:val="Compact"/>
              <w:jc w:val="right"/>
            </w:pPr>
            <w:r>
              <w:t xml:space="preserve">NA</w:t>
            </w:r>
          </w:p>
        </w:tc>
      </w:tr>
      <w:tr>
        <w:tc>
          <w:tcPr/>
          <w:p>
            <w:pPr>
              <w:pStyle w:val="Compact"/>
              <w:jc w:val="left"/>
            </w:pPr>
            <w:r>
              <w:t xml:space="preserve">NJ</w:t>
            </w:r>
          </w:p>
        </w:tc>
        <w:tc>
          <w:tcPr/>
          <w:p>
            <w:pPr>
              <w:pStyle w:val="Compact"/>
              <w:jc w:val="right"/>
            </w:pPr>
            <w:r>
              <w:t xml:space="preserve">0.64</w:t>
            </w:r>
          </w:p>
        </w:tc>
        <w:tc>
          <w:tcPr/>
          <w:p>
            <w:pPr>
              <w:pStyle w:val="Compact"/>
              <w:jc w:val="right"/>
            </w:pPr>
            <w:r>
              <w:t xml:space="preserve">18</w:t>
            </w:r>
          </w:p>
        </w:tc>
      </w:tr>
      <w:tr>
        <w:tc>
          <w:tcPr/>
          <w:p>
            <w:pPr>
              <w:pStyle w:val="Compact"/>
              <w:jc w:val="left"/>
            </w:pPr>
            <w:r>
              <w:t xml:space="preserve">NM</w:t>
            </w:r>
          </w:p>
        </w:tc>
        <w:tc>
          <w:tcPr/>
          <w:p>
            <w:pPr>
              <w:pStyle w:val="Compact"/>
              <w:jc w:val="right"/>
            </w:pPr>
            <w:r>
              <w:t xml:space="preserve">0.82</w:t>
            </w:r>
          </w:p>
        </w:tc>
        <w:tc>
          <w:tcPr/>
          <w:p>
            <w:pPr>
              <w:pStyle w:val="Compact"/>
              <w:jc w:val="right"/>
            </w:pPr>
            <w:r>
              <w:t xml:space="preserve">5</w:t>
            </w:r>
          </w:p>
        </w:tc>
      </w:tr>
      <w:tr>
        <w:tc>
          <w:tcPr/>
          <w:p>
            <w:pPr>
              <w:pStyle w:val="Compact"/>
              <w:jc w:val="left"/>
            </w:pPr>
            <w:r>
              <w:t xml:space="preserve">NV</w:t>
            </w:r>
          </w:p>
        </w:tc>
        <w:tc>
          <w:tcPr/>
          <w:p>
            <w:pPr>
              <w:pStyle w:val="Compact"/>
              <w:jc w:val="right"/>
            </w:pPr>
            <w:r>
              <w:t xml:space="preserve">1.44</w:t>
            </w:r>
          </w:p>
        </w:tc>
        <w:tc>
          <w:tcPr/>
          <w:p>
            <w:pPr>
              <w:pStyle w:val="Compact"/>
              <w:jc w:val="right"/>
            </w:pPr>
            <w:r>
              <w:t xml:space="preserve">5</w:t>
            </w:r>
          </w:p>
        </w:tc>
      </w:tr>
      <w:tr>
        <w:tc>
          <w:tcPr/>
          <w:p>
            <w:pPr>
              <w:pStyle w:val="Compact"/>
              <w:jc w:val="left"/>
            </w:pPr>
            <w:r>
              <w:t xml:space="preserve">NY</w:t>
            </w:r>
          </w:p>
        </w:tc>
        <w:tc>
          <w:tcPr/>
          <w:p>
            <w:pPr>
              <w:pStyle w:val="Compact"/>
              <w:jc w:val="right"/>
            </w:pPr>
            <w:r>
              <w:t xml:space="preserve">1.79</w:t>
            </w:r>
          </w:p>
        </w:tc>
        <w:tc>
          <w:tcPr/>
          <w:p>
            <w:pPr>
              <w:pStyle w:val="Compact"/>
              <w:jc w:val="right"/>
            </w:pPr>
            <w:r>
              <w:t xml:space="preserve">75</w:t>
            </w:r>
          </w:p>
        </w:tc>
      </w:tr>
      <w:tr>
        <w:tc>
          <w:tcPr/>
          <w:p>
            <w:pPr>
              <w:pStyle w:val="Compact"/>
              <w:jc w:val="left"/>
            </w:pPr>
            <w:r>
              <w:t xml:space="preserve">OH</w:t>
            </w:r>
          </w:p>
        </w:tc>
        <w:tc>
          <w:tcPr/>
          <w:p>
            <w:pPr>
              <w:pStyle w:val="Compact"/>
              <w:jc w:val="right"/>
            </w:pPr>
            <w:r>
              <w:t xml:space="preserve">2.44</w:t>
            </w:r>
          </w:p>
        </w:tc>
        <w:tc>
          <w:tcPr/>
          <w:p>
            <w:pPr>
              <w:pStyle w:val="Compact"/>
              <w:jc w:val="right"/>
            </w:pPr>
            <w:r>
              <w:t xml:space="preserve">30</w:t>
            </w:r>
          </w:p>
        </w:tc>
      </w:tr>
      <w:tr>
        <w:tc>
          <w:tcPr/>
          <w:p>
            <w:pPr>
              <w:pStyle w:val="Compact"/>
              <w:jc w:val="left"/>
            </w:pPr>
            <w:r>
              <w:t xml:space="preserve">OK</w:t>
            </w:r>
          </w:p>
        </w:tc>
        <w:tc>
          <w:tcPr/>
          <w:p>
            <w:pPr>
              <w:pStyle w:val="Compact"/>
              <w:jc w:val="right"/>
            </w:pPr>
            <w:r>
              <w:t xml:space="preserve">2.00</w:t>
            </w:r>
          </w:p>
        </w:tc>
        <w:tc>
          <w:tcPr/>
          <w:p>
            <w:pPr>
              <w:pStyle w:val="Compact"/>
              <w:jc w:val="right"/>
            </w:pPr>
            <w:r>
              <w:t xml:space="preserve">2</w:t>
            </w:r>
          </w:p>
        </w:tc>
      </w:tr>
      <w:tr>
        <w:tc>
          <w:tcPr/>
          <w:p>
            <w:pPr>
              <w:pStyle w:val="Compact"/>
              <w:jc w:val="left"/>
            </w:pPr>
            <w:r>
              <w:t xml:space="preserve">OR</w:t>
            </w:r>
          </w:p>
        </w:tc>
        <w:tc>
          <w:tcPr/>
          <w:p>
            <w:pPr>
              <w:pStyle w:val="Compact"/>
              <w:jc w:val="right"/>
            </w:pPr>
            <w:r>
              <w:t xml:space="preserve">2.00</w:t>
            </w:r>
          </w:p>
        </w:tc>
        <w:tc>
          <w:tcPr/>
          <w:p>
            <w:pPr>
              <w:pStyle w:val="Compact"/>
              <w:jc w:val="right"/>
            </w:pPr>
            <w:r>
              <w:t xml:space="preserve">25</w:t>
            </w:r>
          </w:p>
        </w:tc>
      </w:tr>
      <w:tr>
        <w:tc>
          <w:tcPr/>
          <w:p>
            <w:pPr>
              <w:pStyle w:val="Compact"/>
              <w:jc w:val="left"/>
            </w:pPr>
            <w:r>
              <w:t xml:space="preserve">PA</w:t>
            </w:r>
          </w:p>
        </w:tc>
        <w:tc>
          <w:tcPr/>
          <w:p>
            <w:pPr>
              <w:pStyle w:val="Compact"/>
              <w:jc w:val="right"/>
            </w:pPr>
            <w:r>
              <w:t xml:space="preserve">0.65</w:t>
            </w:r>
          </w:p>
        </w:tc>
        <w:tc>
          <w:tcPr/>
          <w:p>
            <w:pPr>
              <w:pStyle w:val="Compact"/>
              <w:jc w:val="right"/>
            </w:pPr>
            <w:r>
              <w:t xml:space="preserve">5</w:t>
            </w:r>
          </w:p>
        </w:tc>
      </w:tr>
      <w:tr>
        <w:tc>
          <w:tcPr/>
          <w:p>
            <w:pPr>
              <w:pStyle w:val="Compact"/>
              <w:jc w:val="left"/>
            </w:pPr>
            <w:r>
              <w:t xml:space="preserve">PR</w:t>
            </w:r>
          </w:p>
        </w:tc>
        <w:tc>
          <w:tcPr/>
          <w:p>
            <w:pPr>
              <w:pStyle w:val="Compact"/>
              <w:jc w:val="right"/>
            </w:pPr>
            <w:r>
              <w:t xml:space="preserve">0.56</w:t>
            </w:r>
          </w:p>
        </w:tc>
        <w:tc>
          <w:tcPr/>
          <w:p>
            <w:pPr>
              <w:pStyle w:val="Compact"/>
              <w:jc w:val="right"/>
            </w:pPr>
            <w:r>
              <w:t xml:space="preserve">NA</w:t>
            </w:r>
          </w:p>
        </w:tc>
      </w:tr>
      <w:tr>
        <w:tc>
          <w:tcPr/>
          <w:p>
            <w:pPr>
              <w:pStyle w:val="Compact"/>
              <w:jc w:val="left"/>
            </w:pPr>
            <w:r>
              <w:t xml:space="preserve">RI</w:t>
            </w:r>
          </w:p>
        </w:tc>
        <w:tc>
          <w:tcPr/>
          <w:p>
            <w:pPr>
              <w:pStyle w:val="Compact"/>
              <w:jc w:val="right"/>
            </w:pPr>
            <w:r>
              <w:t xml:space="preserve">1.64</w:t>
            </w:r>
          </w:p>
        </w:tc>
        <w:tc>
          <w:tcPr/>
          <w:p>
            <w:pPr>
              <w:pStyle w:val="Compact"/>
              <w:jc w:val="right"/>
            </w:pPr>
            <w:r>
              <w:t xml:space="preserve">1</w:t>
            </w:r>
          </w:p>
        </w:tc>
      </w:tr>
      <w:tr>
        <w:tc>
          <w:tcPr/>
          <w:p>
            <w:pPr>
              <w:pStyle w:val="Compact"/>
              <w:jc w:val="left"/>
            </w:pPr>
            <w:r>
              <w:t xml:space="preserve">SC</w:t>
            </w:r>
          </w:p>
        </w:tc>
        <w:tc>
          <w:tcPr/>
          <w:p>
            <w:pPr>
              <w:pStyle w:val="Compact"/>
              <w:jc w:val="right"/>
            </w:pPr>
            <w:r>
              <w:t xml:space="preserve">2.00</w:t>
            </w:r>
          </w:p>
        </w:tc>
        <w:tc>
          <w:tcPr/>
          <w:p>
            <w:pPr>
              <w:pStyle w:val="Compact"/>
              <w:jc w:val="right"/>
            </w:pPr>
            <w:r>
              <w:t xml:space="preserve">5</w:t>
            </w:r>
          </w:p>
        </w:tc>
      </w:tr>
      <w:tr>
        <w:tc>
          <w:tcPr/>
          <w:p>
            <w:pPr>
              <w:pStyle w:val="Compact"/>
              <w:jc w:val="left"/>
            </w:pPr>
            <w:r>
              <w:t xml:space="preserve">SD</w:t>
            </w:r>
          </w:p>
        </w:tc>
        <w:tc>
          <w:tcPr/>
          <w:p>
            <w:pPr>
              <w:pStyle w:val="Compact"/>
              <w:jc w:val="right"/>
            </w:pPr>
            <w:r>
              <w:t xml:space="preserve">2.00</w:t>
            </w:r>
          </w:p>
        </w:tc>
        <w:tc>
          <w:tcPr/>
          <w:p>
            <w:pPr>
              <w:pStyle w:val="Compact"/>
              <w:jc w:val="right"/>
            </w:pPr>
            <w:r>
              <w:t xml:space="preserve">1</w:t>
            </w:r>
          </w:p>
        </w:tc>
      </w:tr>
      <w:tr>
        <w:tc>
          <w:tcPr/>
          <w:p>
            <w:pPr>
              <w:pStyle w:val="Compact"/>
              <w:jc w:val="left"/>
            </w:pPr>
            <w:r>
              <w:t xml:space="preserve">TN</w:t>
            </w:r>
          </w:p>
        </w:tc>
        <w:tc>
          <w:tcPr/>
          <w:p>
            <w:pPr>
              <w:pStyle w:val="Compact"/>
              <w:jc w:val="right"/>
            </w:pPr>
            <w:r>
              <w:t xml:space="preserve">2.00</w:t>
            </w:r>
          </w:p>
        </w:tc>
        <w:tc>
          <w:tcPr/>
          <w:p>
            <w:pPr>
              <w:pStyle w:val="Compact"/>
              <w:jc w:val="right"/>
            </w:pPr>
            <w:r>
              <w:t xml:space="preserve">5</w:t>
            </w:r>
          </w:p>
        </w:tc>
      </w:tr>
      <w:tr>
        <w:tc>
          <w:tcPr/>
          <w:p>
            <w:pPr>
              <w:pStyle w:val="Compact"/>
              <w:jc w:val="left"/>
            </w:pPr>
            <w:r>
              <w:t xml:space="preserve">TX</w:t>
            </w:r>
          </w:p>
        </w:tc>
        <w:tc>
          <w:tcPr/>
          <w:p>
            <w:pPr>
              <w:pStyle w:val="Compact"/>
              <w:jc w:val="right"/>
            </w:pPr>
            <w:r>
              <w:t xml:space="preserve">2.81</w:t>
            </w:r>
          </w:p>
        </w:tc>
        <w:tc>
          <w:tcPr/>
          <w:p>
            <w:pPr>
              <w:pStyle w:val="Compact"/>
              <w:jc w:val="right"/>
            </w:pPr>
            <w:r>
              <w:t xml:space="preserve">43</w:t>
            </w:r>
          </w:p>
        </w:tc>
      </w:tr>
      <w:tr>
        <w:tc>
          <w:tcPr/>
          <w:p>
            <w:pPr>
              <w:pStyle w:val="Compact"/>
              <w:jc w:val="left"/>
            </w:pPr>
            <w:r>
              <w:t xml:space="preserve">UT</w:t>
            </w:r>
          </w:p>
        </w:tc>
        <w:tc>
          <w:tcPr/>
          <w:p>
            <w:pPr>
              <w:pStyle w:val="Compact"/>
              <w:jc w:val="right"/>
            </w:pPr>
            <w:r>
              <w:t xml:space="preserve">2.00</w:t>
            </w:r>
          </w:p>
        </w:tc>
        <w:tc>
          <w:tcPr/>
          <w:p>
            <w:pPr>
              <w:pStyle w:val="Compact"/>
              <w:jc w:val="right"/>
            </w:pPr>
            <w:r>
              <w:t xml:space="preserve">5</w:t>
            </w:r>
          </w:p>
        </w:tc>
      </w:tr>
      <w:tr>
        <w:tc>
          <w:tcPr/>
          <w:p>
            <w:pPr>
              <w:pStyle w:val="Compact"/>
              <w:jc w:val="left"/>
            </w:pPr>
            <w:r>
              <w:t xml:space="preserve">VA</w:t>
            </w:r>
          </w:p>
        </w:tc>
        <w:tc>
          <w:tcPr/>
          <w:p>
            <w:pPr>
              <w:pStyle w:val="Compact"/>
              <w:jc w:val="right"/>
            </w:pPr>
            <w:r>
              <w:t xml:space="preserve">0.25</w:t>
            </w:r>
          </w:p>
        </w:tc>
        <w:tc>
          <w:tcPr/>
          <w:p>
            <w:pPr>
              <w:pStyle w:val="Compact"/>
              <w:jc w:val="right"/>
            </w:pPr>
            <w:r>
              <w:t xml:space="preserve">4</w:t>
            </w:r>
          </w:p>
        </w:tc>
      </w:tr>
      <w:tr>
        <w:tc>
          <w:tcPr/>
          <w:p>
            <w:pPr>
              <w:pStyle w:val="Compact"/>
              <w:jc w:val="left"/>
            </w:pPr>
            <w:r>
              <w:t xml:space="preserve">VI</w:t>
            </w:r>
          </w:p>
        </w:tc>
        <w:tc>
          <w:tcPr/>
          <w:p>
            <w:pPr>
              <w:pStyle w:val="Compact"/>
              <w:jc w:val="right"/>
            </w:pPr>
            <w:r>
              <w:t xml:space="preserve">2.00</w:t>
            </w:r>
          </w:p>
        </w:tc>
        <w:tc>
          <w:tcPr/>
          <w:p>
            <w:pPr>
              <w:pStyle w:val="Compact"/>
              <w:jc w:val="right"/>
            </w:pPr>
            <w:r>
              <w:t xml:space="preserve">NA</w:t>
            </w:r>
          </w:p>
        </w:tc>
      </w:tr>
      <w:tr>
        <w:tc>
          <w:tcPr/>
          <w:p>
            <w:pPr>
              <w:pStyle w:val="Compact"/>
              <w:jc w:val="left"/>
            </w:pPr>
            <w:r>
              <w:t xml:space="preserve">VT</w:t>
            </w:r>
          </w:p>
        </w:tc>
        <w:tc>
          <w:tcPr/>
          <w:p>
            <w:pPr>
              <w:pStyle w:val="Compact"/>
              <w:jc w:val="right"/>
            </w:pPr>
            <w:r>
              <w:t xml:space="preserve">2.00</w:t>
            </w:r>
          </w:p>
        </w:tc>
        <w:tc>
          <w:tcPr/>
          <w:p>
            <w:pPr>
              <w:pStyle w:val="Compact"/>
              <w:jc w:val="right"/>
            </w:pPr>
            <w:r>
              <w:t xml:space="preserve">2</w:t>
            </w:r>
          </w:p>
        </w:tc>
      </w:tr>
      <w:tr>
        <w:tc>
          <w:tcPr/>
          <w:p>
            <w:pPr>
              <w:pStyle w:val="Compact"/>
              <w:jc w:val="left"/>
            </w:pPr>
            <w:r>
              <w:t xml:space="preserve">WA</w:t>
            </w:r>
          </w:p>
        </w:tc>
        <w:tc>
          <w:tcPr/>
          <w:p>
            <w:pPr>
              <w:pStyle w:val="Compact"/>
              <w:jc w:val="right"/>
            </w:pPr>
            <w:r>
              <w:t xml:space="preserve">1.87</w:t>
            </w:r>
          </w:p>
        </w:tc>
        <w:tc>
          <w:tcPr/>
          <w:p>
            <w:pPr>
              <w:pStyle w:val="Compact"/>
              <w:jc w:val="right"/>
            </w:pPr>
            <w:r>
              <w:t xml:space="preserve">80</w:t>
            </w:r>
          </w:p>
        </w:tc>
      </w:tr>
      <w:tr>
        <w:tc>
          <w:tcPr/>
          <w:p>
            <w:pPr>
              <w:pStyle w:val="Compact"/>
              <w:jc w:val="left"/>
            </w:pPr>
            <w:r>
              <w:t xml:space="preserve">WI</w:t>
            </w:r>
          </w:p>
        </w:tc>
        <w:tc>
          <w:tcPr/>
          <w:p>
            <w:pPr>
              <w:pStyle w:val="Compact"/>
              <w:jc w:val="right"/>
            </w:pPr>
            <w:r>
              <w:t xml:space="preserve">-0.63</w:t>
            </w:r>
          </w:p>
        </w:tc>
        <w:tc>
          <w:tcPr/>
          <w:p>
            <w:pPr>
              <w:pStyle w:val="Compact"/>
              <w:jc w:val="right"/>
            </w:pPr>
            <w:r>
              <w:t xml:space="preserve">5</w:t>
            </w:r>
          </w:p>
        </w:tc>
      </w:tr>
      <w:tr>
        <w:tc>
          <w:tcPr/>
          <w:p>
            <w:pPr>
              <w:pStyle w:val="Compact"/>
              <w:jc w:val="left"/>
            </w:pPr>
            <w:r>
              <w:t xml:space="preserve">WV</w:t>
            </w:r>
          </w:p>
        </w:tc>
        <w:tc>
          <w:tcPr/>
          <w:p>
            <w:pPr>
              <w:pStyle w:val="Compact"/>
              <w:jc w:val="right"/>
            </w:pPr>
            <w:r>
              <w:t xml:space="preserve">2.34</w:t>
            </w:r>
          </w:p>
        </w:tc>
        <w:tc>
          <w:tcPr/>
          <w:p>
            <w:pPr>
              <w:pStyle w:val="Compact"/>
              <w:jc w:val="right"/>
            </w:pPr>
            <w:r>
              <w:t xml:space="preserve">1</w:t>
            </w:r>
          </w:p>
        </w:tc>
      </w:tr>
      <w:tr>
        <w:tc>
          <w:tcPr/>
          <w:p>
            <w:pPr>
              <w:pStyle w:val="Compact"/>
              <w:jc w:val="left"/>
            </w:pPr>
            <w:r>
              <w:t xml:space="preserve">WY</w:t>
            </w:r>
          </w:p>
        </w:tc>
        <w:tc>
          <w:tcPr/>
          <w:p>
            <w:pPr>
              <w:pStyle w:val="Compact"/>
              <w:jc w:val="right"/>
            </w:pPr>
            <w:r>
              <w:t xml:space="preserve">2.00</w:t>
            </w:r>
          </w:p>
        </w:tc>
        <w:tc>
          <w:tcPr/>
          <w:p>
            <w:pPr>
              <w:pStyle w:val="Compact"/>
              <w:jc w:val="right"/>
            </w:pPr>
            <w:r>
              <w:t xml:space="preserve">NA</w:t>
            </w:r>
          </w:p>
        </w:tc>
      </w:tr>
    </w:tbl>
    <w:p>
      <w:pPr>
        <w:pStyle w:val="BodyText"/>
      </w:pPr>
      <w:r>
        <w:t xml:space="preserve">For the state bias we can find it here, use the average score and your own knowledge of what states are like, to see the problem I talked about with reporting.</w:t>
      </w:r>
    </w:p>
    <w:bookmarkEnd w:id="49"/>
    <w:bookmarkStart w:id="51" w:name="chart-1"/>
    <w:p>
      <w:pPr>
        <w:pStyle w:val="Heading3"/>
      </w:pPr>
      <w:r>
        <w:t xml:space="preserve">Chart 1 :</w:t>
      </w:r>
    </w:p>
    <w:p>
      <w:pPr>
        <w:pStyle w:val="FirstParagraph"/>
      </w:pPr>
      <w:r>
        <w:drawing>
          <wp:inline>
            <wp:extent cx="4620126" cy="3696101"/>
            <wp:effectExtent b="0" l="0" r="0" t="0"/>
            <wp:docPr descr="" title="" id="1" name="Picture"/>
            <a:graphic>
              <a:graphicData uri="http://schemas.openxmlformats.org/drawingml/2006/picture">
                <pic:pic>
                  <pic:nvPicPr>
                    <pic:cNvPr descr="index_files/figure-docx/hate_crime_plot-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I was creating this pie chart in relation to what Faith is talking about, its important to understand that the initialization of trans hate crime as a category is very recent, and up until 2013 it has been combined with gay hate crimes. Nonetheless its important to analyze the proportion of gay hate crimes by state. This insight allows to assess the relationship between trans hate crimes and the table of state scores allowing you to see where the disparities align.</w:t>
      </w:r>
    </w:p>
    <w:bookmarkEnd w:id="51"/>
    <w:bookmarkEnd w:id="52"/>
    <w:bookmarkStart w:id="53" w:name="chart-2"/>
    <w:p>
      <w:pPr>
        <w:pStyle w:val="Heading2"/>
      </w:pPr>
      <w:r>
        <w:t xml:space="preserve">Chart 2 :</w:t>
      </w:r>
    </w:p>
    <w:p>
      <w:pPr>
        <w:pStyle w:val="SourceCode"/>
      </w:pPr>
      <w:r>
        <w:rPr>
          <w:rStyle w:val="VerbatimChar"/>
        </w:rPr>
        <w:t xml:space="preserve">## </w:t>
      </w:r>
      <w:r>
        <w:br/>
      </w:r>
      <w:r>
        <w:rPr>
          <w:rStyle w:val="VerbatimChar"/>
        </w:rPr>
        <w:t xml:space="preserve">## Attaching package: 'plotly'</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last_plot</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VerbatimChar"/>
        </w:rPr>
        <w:t xml:space="preserve">## The following object is masked from 'package:graphics':</w:t>
      </w:r>
      <w:r>
        <w:br/>
      </w:r>
      <w:r>
        <w:rPr>
          <w:rStyle w:val="VerbatimChar"/>
        </w:rPr>
        <w:t xml:space="preserve">## </w:t>
      </w:r>
      <w:r>
        <w:br/>
      </w:r>
      <w:r>
        <w:rPr>
          <w:rStyle w:val="VerbatimChar"/>
        </w:rPr>
        <w:t xml:space="preserve">##     layout</w:t>
      </w:r>
    </w:p>
    <w:p>
      <w:pPr>
        <w:pStyle w:val="FirstParagraph"/>
      </w:pPr>
      <w:r>
        <w:t xml:space="preserve">This scatter plot was meant to show the trends of the number of victim counts, from year 1990 to 2020, by varying regions of the United States. Something important about this data visualization are the different colors, which each represent a different region. It can show the distribution of regions that have more victims than others, simply by looking at the more pertinent colors. This data is meant to bring light to concentrated areas in the United States that still struggle with equal rights for the trans population, who are still victims of violence and hate crimes.</w:t>
      </w:r>
    </w:p>
    <w:bookmarkEnd w:id="53"/>
    <w:bookmarkStart w:id="55" w:name="chart-3"/>
    <w:p>
      <w:pPr>
        <w:pStyle w:val="Heading2"/>
      </w:pPr>
      <w:r>
        <w:t xml:space="preserve">Chart 3 :</w:t>
      </w:r>
    </w:p>
    <w:p>
      <w:pPr>
        <w:pStyle w:val="FirstParagraph"/>
      </w:pPr>
      <w:r>
        <w:drawing>
          <wp:inline>
            <wp:extent cx="4620126" cy="3696101"/>
            <wp:effectExtent b="0" l="0" r="0" t="0"/>
            <wp:docPr descr="" title="" id="1" name="Picture"/>
            <a:graphic>
              <a:graphicData uri="http://schemas.openxmlformats.org/drawingml/2006/picture">
                <pic:pic>
                  <pic:nvPicPr>
                    <pic:cNvPr descr="index_files/figure-docx/death_category_plot-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50" Target="media/rId50.png" /><Relationship Type="http://schemas.openxmlformats.org/officeDocument/2006/relationships/hyperlink" Id="rId44" Target="https://thecrimereport.org/2022/02/02/a-blueprint-for-reform-police-and-transgender-rights/" TargetMode="External" /><Relationship Type="http://schemas.openxmlformats.org/officeDocument/2006/relationships/hyperlink" Id="rId39" Target="https://web.archive.org/" TargetMode="External" /><Relationship Type="http://schemas.openxmlformats.org/officeDocument/2006/relationships/hyperlink" Id="rId48" Target="https://williamsinstitute.law.ucla.edu/publications/trans-adults-united-states/" TargetMode="External" /><Relationship Type="http://schemas.openxmlformats.org/officeDocument/2006/relationships/hyperlink" Id="rId42" Target="https://www.hrc.org/news/new-study-reveals-shocking-rates-of-attempted-suicide-among-trans-adolescen" TargetMode="External" /><Relationship Type="http://schemas.openxmlformats.org/officeDocument/2006/relationships/hyperlink" Id="rId45" Target="https://www.hrc.org/resources/understanding-the-transgender-community" TargetMode="External" /><Relationship Type="http://schemas.openxmlformats.org/officeDocument/2006/relationships/hyperlink" Id="rId38" Target="https://www.lgbtmap.org/equality-maps/healthcare_laws_and_policies" TargetMode="External" /><Relationship Type="http://schemas.openxmlformats.org/officeDocument/2006/relationships/hyperlink" Id="rId43" Target="https://www.ncbi.nlm.nih.gov/pmc/articles/PMC5182227/" TargetMode="External" /><Relationship Type="http://schemas.openxmlformats.org/officeDocument/2006/relationships/hyperlink" Id="rId23" Target="mailto:bag01@uw.edu" TargetMode="External" /><Relationship Type="http://schemas.openxmlformats.org/officeDocument/2006/relationships/hyperlink" Id="rId25" Target="mailto:fila10@uw.edu" TargetMode="External" /><Relationship Type="http://schemas.openxmlformats.org/officeDocument/2006/relationships/hyperlink" Id="rId24" Target="mailto:hanapham@uw.edu" TargetMode="External" /><Relationship Type="http://schemas.openxmlformats.org/officeDocument/2006/relationships/hyperlink" Id="rId22" Target="mailto:msk812@uw.edu" TargetMode="External" /></Relationships>
</file>

<file path=word/_rels/footnotes.xml.rels><?xml version="1.0" encoding="UTF-8"?><Relationships xmlns="http://schemas.openxmlformats.org/package/2006/relationships"><Relationship Type="http://schemas.openxmlformats.org/officeDocument/2006/relationships/hyperlink" Id="rId44" Target="https://thecrimereport.org/2022/02/02/a-blueprint-for-reform-police-and-transgender-rights/" TargetMode="External" /><Relationship Type="http://schemas.openxmlformats.org/officeDocument/2006/relationships/hyperlink" Id="rId39" Target="https://web.archive.org/" TargetMode="External" /><Relationship Type="http://schemas.openxmlformats.org/officeDocument/2006/relationships/hyperlink" Id="rId48" Target="https://williamsinstitute.law.ucla.edu/publications/trans-adults-united-states/" TargetMode="External" /><Relationship Type="http://schemas.openxmlformats.org/officeDocument/2006/relationships/hyperlink" Id="rId42" Target="https://www.hrc.org/news/new-study-reveals-shocking-rates-of-attempted-suicide-among-trans-adolescen" TargetMode="External" /><Relationship Type="http://schemas.openxmlformats.org/officeDocument/2006/relationships/hyperlink" Id="rId45" Target="https://www.hrc.org/resources/understanding-the-transgender-community" TargetMode="External" /><Relationship Type="http://schemas.openxmlformats.org/officeDocument/2006/relationships/hyperlink" Id="rId38" Target="https://www.lgbtmap.org/equality-maps/healthcare_laws_and_policies" TargetMode="External" /><Relationship Type="http://schemas.openxmlformats.org/officeDocument/2006/relationships/hyperlink" Id="rId43" Target="https://www.ncbi.nlm.nih.gov/pmc/articles/PMC5182227/" TargetMode="External" /><Relationship Type="http://schemas.openxmlformats.org/officeDocument/2006/relationships/hyperlink" Id="rId23" Target="mailto:bag01@uw.edu" TargetMode="External" /><Relationship Type="http://schemas.openxmlformats.org/officeDocument/2006/relationships/hyperlink" Id="rId25" Target="mailto:fila10@uw.edu" TargetMode="External" /><Relationship Type="http://schemas.openxmlformats.org/officeDocument/2006/relationships/hyperlink" Id="rId24" Target="mailto:hanapham@uw.edu" TargetMode="External" /><Relationship Type="http://schemas.openxmlformats.org/officeDocument/2006/relationships/hyperlink" Id="rId22" Target="mailto:msk812@uw.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 Rights Research</dc:title>
  <dc:creator>Faith Greene, Minsuh Kim, Fila Mohamed, Hana Pham</dc:creator>
  <cp:keywords/>
  <dcterms:created xsi:type="dcterms:W3CDTF">2022-02-18T03:13:29Z</dcterms:created>
  <dcterms:modified xsi:type="dcterms:W3CDTF">2022-02-18T03:13:29Z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2/16/2022</vt:lpwstr>
  </property>
  <property fmtid="{D5CDD505-2E9C-101B-9397-08002B2CF9AE}" pid="3" name="output">
    <vt:lpwstr/>
  </property>
</Properties>
</file>