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sz w:val="32"/>
          <w:szCs w:val="32"/>
        </w:rPr>
        <w:t xml:space="preserve">Sales Performance Dashboard — How to Read It</w:t>
      </w:r>
    </w:p>
    <w:p>
      <w:pPr>
        <w:spacing w:after="300"/>
      </w:pPr>
      <w:r>
        <w:rPr>
          <w:i/>
          <w:iCs/>
          <w:color w:val="666666"/>
          <w:sz w:val="20"/>
          <w:szCs w:val="20"/>
        </w:rPr>
        <w:t xml:space="preserve">One-page guide for stakeholders</w:t>
      </w:r>
    </w:p>
    <w:p>
      <w:pPr>
        <w:pStyle w:val="Heading1"/>
        <w:spacing w:after="100" w:before="240"/>
      </w:pPr>
      <w:r>
        <w:t xml:space="preserve">What This Dashboard Shows</w:t>
      </w:r>
    </w:p>
    <w:p>
      <w:pPr>
        <w:spacing w:after="160"/>
      </w:pPr>
      <w:r>
        <w:rPr>
          <w:sz w:val="22"/>
          <w:szCs w:val="22"/>
        </w:rPr>
        <w:t xml:space="preserve">This dashboard tracks sales performance across products, regions, and months for 2024, built from 480 transaction-level records covering 5 regions, 8 products, and 12 months.</w:t>
      </w:r>
    </w:p>
    <w:p>
      <w:pPr>
        <w:pStyle w:val="Heading1"/>
        <w:spacing w:after="100" w:before="240"/>
      </w:pPr>
      <w:r>
        <w:t xml:space="preserve">Key Metrics (KPI Cards)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Total Revenue — $3.19M total sales value generated (Units Sold x Unit Price)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Total Profit — $1.27M, Revenue minus Cost across all sales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Total Units Sold — 50K total quantity of products sold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Profit Margin % — Profit as a percentage of Revenue; shows how efficiently sales convert to profit, not just how much was sold</w:t>
      </w:r>
    </w:p>
    <w:p>
      <w:pPr>
        <w:pStyle w:val="Heading1"/>
        <w:spacing w:after="100" w:before="240"/>
      </w:pPr>
      <w:r>
        <w:t xml:space="preserve">Visuals on the Dashboard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Revenue Trend (Line Chart) — Revenue by month, showing seasonal patterns (notice the rise into November–December)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Profit by Region (Bar Chart) — Compares total profit across the 5 regions, showing which regions are the strongest contributors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Revenue by Product (Ribbon Chart) — Ranks all 8 products by revenue, sorted highest to lowest, making it immediately clear which products drive the majority of sales versus which contribute marginally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KPI Cards — At-a-glance totals for Revenue, Profit, and Units Sold, which update automatically based on whatever filters are applied below</w:t>
      </w:r>
    </w:p>
    <w:p>
      <w:pPr>
        <w:pStyle w:val="Heading1"/>
        <w:spacing w:after="100" w:before="240"/>
      </w:pPr>
      <w:r>
        <w:t xml:space="preserve">How to Filter the Dashboard</w:t>
      </w:r>
    </w:p>
    <w:p>
      <w:pPr>
        <w:spacing w:after="160"/>
      </w:pPr>
      <w:r>
        <w:rPr>
          <w:sz w:val="22"/>
          <w:szCs w:val="22"/>
        </w:rPr>
        <w:t xml:space="preserve">Two slicers let you narrow the view without needing to edit anything: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Month Slicer — Select one or more months to see performance for that specific period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Region Slicer — Select one or more regions to compare or isolate performance geographically</w:t>
      </w:r>
    </w:p>
    <w:p>
      <w:pPr>
        <w:spacing w:after="160"/>
      </w:pPr>
      <w:r>
        <w:rPr>
          <w:sz w:val="22"/>
          <w:szCs w:val="22"/>
        </w:rPr>
        <w:t xml:space="preserve">Selections in either slicer automatically update every card and chart on the dashboard — there is no need to rebuild or export a new report for a different question; simply click a different filter combination.</w:t>
      </w:r>
    </w:p>
    <w:p>
      <w:pPr>
        <w:pStyle w:val="Heading1"/>
        <w:spacing w:after="100" w:before="240"/>
      </w:pPr>
      <w:r>
        <w:t xml:space="preserve">How to Read the Color Coding</w:t>
      </w:r>
    </w:p>
    <w:p>
      <w:pPr>
        <w:spacing w:after="160"/>
      </w:pPr>
      <w:r>
        <w:rPr>
          <w:sz w:val="22"/>
          <w:szCs w:val="22"/>
        </w:rPr>
        <w:t xml:space="preserve">All visuals use one consistent blue color scheme, keeping the dashboard visually simple and avoiding color becoming a distraction rather than an aid.</w:t>
      </w:r>
    </w:p>
    <w:p>
      <w:pPr>
        <w:pStyle w:val="Heading1"/>
        <w:spacing w:after="100" w:before="240"/>
      </w:pPr>
      <w:r>
        <w:t xml:space="preserve">Intended Use</w:t>
      </w:r>
    </w:p>
    <w:p>
      <w:pPr>
        <w:spacing w:after="160"/>
      </w:pPr>
      <w:r>
        <w:rPr>
          <w:sz w:val="22"/>
          <w:szCs w:val="22"/>
        </w:rPr>
        <w:t xml:space="preserve">This dashboard is designed for a quick performance check — answering "how are we doing, and where" in under a minute. For a deeper breakdown by individual product, transaction-level detail, or root-cause analysis, refer to the underlying dataset directly rather than this summary view.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2026-09-10T12:37:07.158Z</dcterms:created>
  <dcterms:modified xsi:type="dcterms:W3CDTF">2026-09-10T12:37:07.169Z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