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jc w:val="center"/>
      </w:pPr>
      <w:r>
        <w:rPr>
          <w:rFonts w:ascii="Arial" w:cs="Arial" w:eastAsia="Arial" w:hAnsi="Arial"/>
          <w:b/>
          <w:bCs/>
          <w:color w:val="FFFFFF"/>
          <w:sz w:val="36"/>
          <w:szCs w:val="36"/>
        </w:rPr>
        <w:t xml:space="preserve">Mini Project 1: Hospital Operations Intelligence</w:t>
      </w:r>
    </w:p>
    <w:p>
      <w:pPr>
        <w:shd w:fill="2E75B6" w:val="clear"/>
        <w:spacing w:before="0" w:after="240"/>
        <w:jc w:val="center"/>
      </w:pPr>
      <w:r>
        <w:rPr>
          <w:rFonts w:ascii="Arial" w:cs="Arial" w:eastAsia="Arial" w:hAnsi="Arial"/>
          <w:color w:val="FFFFFF"/>
          <w:sz w:val="22"/>
          <w:szCs w:val="22"/>
        </w:rPr>
        <w:t xml:space="preserve">Understanding Hospital Performance Through Data  |  5,000 Patient Encounters</w:t>
      </w:r>
    </w:p>
    <w:p>
      <w:pPr>
        <w:pBdr>
          <w:bottom w:val="single" w:color="2E75B6" w:sz="4"/>
        </w:pBdr>
        <w:spacing w:before="300" w:after="100"/>
      </w:pPr>
      <w:r>
        <w:rPr>
          <w:rFonts w:ascii="Arial" w:cs="Arial" w:eastAsia="Arial" w:hAnsi="Arial"/>
          <w:b/>
          <w:bCs/>
          <w:color w:val="1F4E79"/>
          <w:sz w:val="26"/>
          <w:szCs w:val="26"/>
        </w:rPr>
        <w:t xml:space="preserve">Section 1: Performance Metrics Summary</w:t>
      </w:r>
    </w:p>
    <w:p>
      <w:pPr>
        <w:spacing w:before="80" w:after="80"/>
      </w:pPr>
      <w:r>
        <w:rPr>
          <w:rFonts w:ascii="Arial" w:cs="Arial" w:eastAsia="Arial" w:hAnsi="Arial"/>
          <w:sz w:val="22"/>
          <w:szCs w:val="22"/>
        </w:rPr>
        <w:t xml:space="preserve">The following 10 metrics were selected for their operational relevance, clinical significance, and ability to support leadership decision-making. Each metric is derived directly from the encounter dataset.</w:t>
      </w:r>
    </w:p>
    <w:p>
      <w:pPr>
        <w:spacing w:before="120"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2560"/>
      </w:tblGrid>
      <w:tr>
        <w:tc>
          <w:tcPr>
            <w:tcW w:type="dxa" w:w="4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3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c>
          <w:tcPr>
            <w:tcW w:type="dxa" w:w="25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Stage</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Average Length of Stay</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2.6 days (62.1 hrs)</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Admission → Discharge</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2</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ED-to-Provider Wait Time</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46.9 minutes</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ED Arrival</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30-Day Readmission Rate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14.8%</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Post-Discharge</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4</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Average Cost Per Encounter</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$1,641.94</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Full Encounter</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Emergency Admission Rate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60.4%</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Admission</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6</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Patient Recovery Rate</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94.2%</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Outcome</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Home Discharge Rate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74.6%</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Discharge</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8</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High-Severity Case Rate</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34.7%</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Clinical</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9</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Cost-to-Severity Gradient</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$863 → $2,377</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Financial / Clinical</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10</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Non-Home Discharge Rate</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25.4%</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Discharge / Post-Acute</w:t>
            </w:r>
          </w:p>
        </w:tc>
      </w:tr>
    </w:tbl>
    <w:p>
      <w:pPr>
        <w:spacing w:before="360" w:after="0"/>
      </w:pPr>
      <w:r>
        <w:br w:type="page"/>
      </w:r>
    </w:p>
    <w:p>
      <w:pPr>
        <w:pBdr>
          <w:bottom w:val="single" w:color="2E75B6" w:sz="4"/>
        </w:pBdr>
        <w:spacing w:before="300" w:after="100"/>
      </w:pPr>
      <w:r>
        <w:rPr>
          <w:rFonts w:ascii="Arial" w:cs="Arial" w:eastAsia="Arial" w:hAnsi="Arial"/>
          <w:b/>
          <w:bCs/>
          <w:color w:val="1F4E79"/>
          <w:sz w:val="26"/>
          <w:szCs w:val="26"/>
        </w:rPr>
        <w:t xml:space="preserve">Section 2: Metric Explanations</w:t>
      </w:r>
    </w:p>
    <w:p>
      <w:pPr>
        <w:spacing w:before="80" w:after="80"/>
      </w:pPr>
      <w:r>
        <w:rPr>
          <w:rFonts w:ascii="Arial" w:cs="Arial" w:eastAsia="Arial" w:hAnsi="Arial"/>
          <w:sz w:val="22"/>
          <w:szCs w:val="22"/>
        </w:rPr>
        <w:t xml:space="preserve">Each metric below is explained in terms of what it measures, why it matters to hospital operations, and where it sits in the patient care continuum.</w:t>
      </w:r>
    </w:p>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1: Average Length of Stay (LOS)</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2.6 days (62.1 hours)</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How long, on average, a patient remains in the hospital from the time of admission to the time of discharge.</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LOS is one of the most widely tracked metrics in hospital operations. Longer stays generally mean higher costs, greater strain on bed capacity, and increased risk of hospital-acquired complications. Shorter stays — when clinically appropriate — free beds for incoming patients and improve throughput.</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Spans the Admission → Treatment → Discharge phase. It is influenced by every decision made during a patient's stay, from initial assessment to discharge planning.</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2: Average ED-to-Provider Wait Time</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46.9 minutes</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average time elapsed between a patient arriving in the Emergency Department and being seen by a clinical provider.</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Timely provider assessment is a core quality-of-care indicator. Prolonged wait times in the ED are associated with worse outcomes for time-sensitive conditions (e.g., stroke, sepsis, chest pain) and reduced patient satisfaction. Regulatory standards and accreditation bodies closely monitor this metric.</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Sits at the very beginning of the care continuum — ED Arrival stage. It is the first clinical touchpoint and sets the tone for the entire encounter.</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3: 30-Day Readmission Rate</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14.8%</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proportion of patients who are readmitted to the hospital after a previous discharge — a signal that their condition was not fully resolved or that post-discharge support was insufficient.</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Readmissions represent both a quality failure and a financial risk. In the United States, hospitals can face Medicare payment penalties for excess readmissions. High readmission rates often indicate issues in care transitions, discharge planning, or follow-up care.</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Post-Discharge stage. It reflects events that occur after the patient has left the hospital, making it a critical measure of care continuity.</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4: Average Cost Per Encounter</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$1,641.94</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mean total cost associated with a single patient visit, including all clinical services, procedures, and resource utilization recorded in the dataset.</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Understanding average cost at the encounter level is foundational for budgeting, insurance reimbursement analysis, and identifying cost drivers. When segmented by department or admission type, it reveals where resources are most heavily consumed.</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Spans the full encounter. Cost accumulates across every stage — ED, inpatient stay, procedures, and discharge support.</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5: Emergency Admission Rate</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60.4%</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percentage of all hospital admissions classified as emergency admissions (versus urgent or elective).</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high proportion of emergency admissions indicates a population that may lack access to timely primary or preventive care, or that is presenting with acute, unmanaged conditions. It also strains staffing and resources that cannot be preplanned for emergency volume.</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Admission stage. The nature of admission type shapes downstream care intensity, LOS, and cost.</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6: Patient Recovery Rate</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94.2% Recovered | 5.2% Readmitted | 0.6% Expired</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distribution of documented patient outcomes: the proportion who recovered, were readmitted, or expired during the encounter.</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Outcome distribution is the most direct reflection of clinical effectiveness. Leadership uses it to benchmark against peer hospitals, identify departments with concerning outcomes, and prioritize quality improvement initiatives.</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Outcome stage — the final measure of whether care was effective. It sits at the end of the care continuum but is shaped by every decision upstream.</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7: Home Discharge Rate</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74.6%</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percentage of patients discharged directly to their home, as opposed to a skilled nursing facility, rehabilitation center, or other post-acute care setting.</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higher home discharge rate generally reflects patients who are functionally independent enough to recover without institutional support. A lower rate signals higher acuity or gaps in community-based care. It also directly impacts total system cost — post-acute placements are expensive.</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Discharge stage. Disposition planning begins at admission but is executed at discharge.</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8: High-Severity Case Rate (Severity 4–5)</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34.7%</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proportion of encounters involving patients classified at severity levels 4 or 5 — the most clinically complex and resource-intensive cases.</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High-severity cases drive disproportionate cost, staff workload, and risk. Tracking this rate helps leadership understand the clinical complexity of the patient population and plan appropriate staffing ratios, specialist availability, and ICU capacity.</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Clinical stage (Treatment). Severity is assessed on admission and shapes the entire care pathway.</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9: Cost-to-Severity Gradient</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Severity 1: $864 → Severity 5: $2,377</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relationship between a patient's severity level and the average cost of their encounter — measured across all five severity tiers.</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consistent, linear cost gradient validates that clinical classification is working correctly: sicker patients cost more to treat. Gaps or inversions in this pattern could signal coding inconsistencies, under-triaging, or financial anomalies worth investigating.</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Spans Financial and Clinical stages. It connects clinical assessment to resource utilization and reimbursement.</w:t>
            </w:r>
          </w:p>
        </w:tc>
      </w:tr>
    </w:tbl>
    <w:p>
      <w:pPr>
        <w:spacing w:before="24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Metric 10: Non-Home Discharge Rate (Post-Acute Dependency)</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BBBBBB" w:sz="1"/>
              <w:left w:val="single" w:color="BBBBBB" w:sz="1"/>
              <w:bottom w:val="single" w:color="BBBBBB" w:sz="1"/>
              <w:right w:val="single" w:color="BBBBBB" w:sz="1"/>
            </w:tcBorders>
            <w:shd w:fill="AED6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Calculated Value</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25.4% (SNF: 10.3% | Rehab: 9.9% | Expired: 5.2%)</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What It Measures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proportion of patients discharged to a post-acute care setting — skilled nursing facility, rehabilitation center, or who expired — rather than home.</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Why It Matters</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Post-acute placement represents a continuation of the care journey and carries significant cost implications, both for the patient and the healthcare system. High rates may reflect an aging, high-acuity population and can strain care coordination and discharge planning resources.</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Care Continuum</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Discharge and Post-Discharge stages. These patients remain within the broader care system even after leaving the hospital.</w:t>
            </w:r>
          </w:p>
        </w:tc>
      </w:tr>
    </w:tbl>
    <w:p>
      <w:pPr>
        <w:spacing w:before="360" w:after="0"/>
      </w:pPr>
      <w:r>
        <w:br w:type="page"/>
      </w:r>
    </w:p>
    <w:p>
      <w:pPr>
        <w:pBdr>
          <w:bottom w:val="single" w:color="2E75B6" w:sz="4"/>
        </w:pBdr>
        <w:spacing w:before="300" w:after="100"/>
      </w:pPr>
      <w:r>
        <w:rPr>
          <w:rFonts w:ascii="Arial" w:cs="Arial" w:eastAsia="Arial" w:hAnsi="Arial"/>
          <w:b/>
          <w:bCs/>
          <w:color w:val="1F4E79"/>
          <w:sz w:val="26"/>
          <w:szCs w:val="26"/>
        </w:rPr>
        <w:t xml:space="preserve">Analyst Insight Summary</w:t>
      </w:r>
    </w:p>
    <w:p>
      <w:pPr>
        <w:spacing w:before="80" w:after="80"/>
      </w:pPr>
      <w:r>
        <w:rPr>
          <w:rFonts w:ascii="Arial" w:cs="Arial" w:eastAsia="Arial" w:hAnsi="Arial"/>
          <w:sz w:val="22"/>
          <w:szCs w:val="22"/>
        </w:rPr>
        <w:t xml:space="preserve"/>
      </w:r>
    </w:p>
    <w:p>
      <w:pPr>
        <w:spacing w:before="160" w:after="60"/>
      </w:pPr>
      <w:r>
        <w:rPr>
          <w:rFonts w:ascii="Arial" w:cs="Arial" w:eastAsia="Arial" w:hAnsi="Arial"/>
          <w:b/>
          <w:bCs/>
          <w:sz w:val="22"/>
          <w:szCs w:val="22"/>
        </w:rPr>
        <w:t xml:space="preserve">What is this hospital doing well operationally?</w:t>
      </w:r>
    </w:p>
    <w:p>
      <w:pPr>
        <w:spacing w:before="60" w:after="120"/>
      </w:pPr>
      <w:r>
        <w:rPr>
          <w:rFonts w:ascii="Arial" w:cs="Arial" w:eastAsia="Arial" w:hAnsi="Arial"/>
          <w:sz w:val="22"/>
          <w:szCs w:val="22"/>
        </w:rPr>
        <w:t xml:space="preserve">The hospital demonstrates strong clinical effectiveness, with a 94.2% patient recovery rate and a near-zero in-hospital mortality rate of 0.6%. These figures suggest that once patients are admitted and receiving care, clinical teams are performing well. The average length of stay of 2.6 days is relatively efficient for a mixed-acuity population that includes 34.7% high-severity cases. The 74.6% home discharge rate also signals that the majority of patients are stable enough to recover independently — an indicator of appropriate care intensity and effective discharge planning. The consistent cost-to-severity gradient ($864 at Level 1 through $2,377 at Level 5) suggests clinical coding and resource allocation are broadly aligned.</w:t>
      </w:r>
    </w:p>
    <w:p>
      <w:pPr>
        <w:spacing w:before="160" w:after="60"/>
      </w:pPr>
      <w:r>
        <w:rPr>
          <w:rFonts w:ascii="Arial" w:cs="Arial" w:eastAsia="Arial" w:hAnsi="Arial"/>
          <w:b/>
          <w:bCs/>
          <w:sz w:val="22"/>
          <w:szCs w:val="22"/>
        </w:rPr>
        <w:t xml:space="preserve">Where do you suspect bottlenecks or risks exist?</w:t>
      </w:r>
    </w:p>
    <w:p>
      <w:pPr>
        <w:spacing w:before="60" w:after="120"/>
      </w:pPr>
      <w:r>
        <w:rPr>
          <w:rFonts w:ascii="Arial" w:cs="Arial" w:eastAsia="Arial" w:hAnsi="Arial"/>
          <w:sz w:val="22"/>
          <w:szCs w:val="22"/>
        </w:rPr>
        <w:t xml:space="preserve">The 14.8% readmission rate is a significant concern. Industry benchmarks for inpatient readmissions hover around 15–20%, placing this hospital near the upper edge of acceptable performance. This may indicate gaps in discharge planning, insufficient patient education, or limited access to outpatient follow-up care. The 60.4% emergency admission rate is also notable — more than half of all encounters are unplanned, which limits the hospital's ability to optimize bed management and staffing. The 46.9-minute average ED-to-provider wait time warrants monitoring; while not alarming in isolation, if this figure reflects the average across all hours and severity levels, peak-hour waits could be considerably longer for lower-acuity patients.</w:t>
      </w:r>
    </w:p>
    <w:p>
      <w:pPr>
        <w:spacing w:before="160" w:after="60"/>
      </w:pPr>
      <w:r>
        <w:rPr>
          <w:rFonts w:ascii="Arial" w:cs="Arial" w:eastAsia="Arial" w:hAnsi="Arial"/>
          <w:b/>
          <w:bCs/>
          <w:sz w:val="22"/>
          <w:szCs w:val="22"/>
        </w:rPr>
        <w:t xml:space="preserve">Which results would concern leadership?</w:t>
      </w:r>
    </w:p>
    <w:p>
      <w:pPr>
        <w:spacing w:before="60" w:after="120"/>
      </w:pPr>
      <w:r>
        <w:rPr>
          <w:rFonts w:ascii="Arial" w:cs="Arial" w:eastAsia="Arial" w:hAnsi="Arial"/>
          <w:sz w:val="22"/>
          <w:szCs w:val="22"/>
        </w:rPr>
        <w:t xml:space="preserve">The 25.4% non-home discharge rate — particularly the 5.2% expired category and the 20.2% requiring post-acute placement — would draw immediate leadership attention. Post-acute placements consume downstream resources and suggest a higher-acuity patient mix than the LOS alone implies. The readmission rate combined with the 5.2% readmitted outcome category (patients who were formally readmitted during this dataset period) represents a care quality and financial risk. At the current average cost of $1,641.94 per encounter, even a modest reduction in preventable readmissions could yield significant cost savings.</w:t>
      </w:r>
    </w:p>
    <w:p>
      <w:pPr>
        <w:spacing w:before="160" w:after="60"/>
      </w:pPr>
      <w:r>
        <w:rPr>
          <w:rFonts w:ascii="Arial" w:cs="Arial" w:eastAsia="Arial" w:hAnsi="Arial"/>
          <w:b/>
          <w:bCs/>
          <w:sz w:val="22"/>
          <w:szCs w:val="22"/>
        </w:rPr>
        <w:t xml:space="preserve">What clarifying questions would I ask before recommending action?</w:t>
      </w:r>
    </w:p>
    <w:p>
      <w:pPr>
        <w:spacing w:before="60" w:after="160"/>
      </w:pPr>
      <w:r>
        <w:rPr>
          <w:rFonts w:ascii="Arial" w:cs="Arial" w:eastAsia="Arial" w:hAnsi="Arial"/>
          <w:sz w:val="22"/>
          <w:szCs w:val="22"/>
        </w:rPr>
        <w:t xml:space="preserve">Before making any operational recommendations, I would ask: (1) Is the readmission_flag capturing 30-day all-cause readmissions, or only readmissions within this encounter window? The distinction significantly affects how we interpret the 14.8% rate. (2) Are the ED wait times skewed by time of day or day of week? Averages can mask critical peak-period failures. (3) What does the ICD-10 diagnosis mix look like for high-severity readmissions? Certain diagnoses — CHF, COPD, pneumonia — are known readmission drivers and have targeted intervention programs. (4) Is the gender field complete? A meaningful proportion of gender values may be missing or non-binary, which would affect any demographic segmentation. (5) Are the department names standardized? The dataset contains both 'Emergency' and 'emergency' as separate categories — data cleaning is needed before any department-level reporting.</w:t>
      </w:r>
    </w:p>
    <w:p>
      <w:pPr>
        <w:spacing w:before="360" w:after="0"/>
      </w:pPr>
    </w:p>
    <w:p>
      <w:pPr>
        <w:pBdr>
          <w:top w:val="single" w:color="2E75B6" w:sz="4"/>
        </w:pBdr>
        <w:spacing w:before="120" w:after="0"/>
        <w:jc w:val="center"/>
      </w:pPr>
      <w:r>
        <w:rPr>
          <w:rFonts w:ascii="Arial" w:cs="Arial" w:eastAsia="Arial" w:hAnsi="Arial"/>
          <w:i/>
          <w:iCs/>
          <w:color w:val="888888"/>
          <w:sz w:val="18"/>
          <w:szCs w:val="18"/>
        </w:rPr>
        <w:t xml:space="preserve">Dataset: healthcare_performance_dataset.csv  |  N = 5,000 encounters  |  Analysis Period: January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2026-02-26T19:39:00.968Z</dcterms:created>
  <dcterms:modified xsi:type="dcterms:W3CDTF">2026-02-26T19:39:00.970Z</dcterms:modified>
</cp:coreProperties>
</file>

<file path=docProps/custom.xml><?xml version="1.0" encoding="utf-8"?>
<Properties xmlns="http://schemas.openxmlformats.org/officeDocument/2006/custom-properties" xmlns:vt="http://schemas.openxmlformats.org/officeDocument/2006/docPropsVTypes"/>
</file>