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及外部时空模型，并实现本地 TFT-style 分位数预测模块。TFT-style q50 平均 MAE 为 1.5899，q10-q90 PICP80 为 0.8107；Graph WaveNet time + net-loss 平均 MAE 为 1.6238，净流量 MAE 为 1.5658。调度层面，本文设计滚动库存模拟和 min-cost flow 再平衡算法，在每小时 200 辆搬运上限下生成取放任务。回测表明预测驱动调度显著降低库存越界小时，同时揭示预测 MAE 与调度效果并非完全一致。最后实现离线可视化平台展示预测区间、库存风险和调度路线。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calendar features, station attributes, POI features, and OD relation graphs, covering 883 stations that account for about 90% of annual trip volume. For forecasting, this thesis compares multiple spatio-temporal models including AGCRN, Graph WaveNet, CCRNN, ESG, and GMRL, and implements a local TFT-style quantile forecasting module that outputs q10, q50, and q90 multi-horizon forecasts. The TFT-style model achieves an average q50 MAE of 1.5899 and a q10-q90 PICP80 of 0.8107, while the Graph WaveNet time + net-loss model achieves an average MAE of 1.6238 and a net-flow MAE of 1.5658. For rebalancing, this thesis designs a rolling-horizon inventory simulator and a min-cost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prototype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数据集版本</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 time + net-loss 模型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可解释性导出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7.3 外部论文模型适配结果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主要实验结果来源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附录B 主要代码目录</w:t>
      </w:r>
      <w:r>
        <w:rPr>
          <w:rFonts w:ascii="Times New Roman" w:eastAsia="SimSun" w:hAnsi="Times New Roman"/>
          <w:sz w:val="24"/>
          <w:szCs w:val="24"/>
        </w:rPr>
        <w:t xml:space="preserve">	</w:t>
      </w:r>
      <w:r>
        <w:rPr>
          <w:rFonts w:ascii="Times New Roman" w:eastAsia="SimSun" w:hAnsi="Times New Roman"/>
          <w:sz w:val="24"/>
          <w:szCs w:val="24"/>
        </w:rPr>
        <w:t xml:space="preserve"/>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原型系统。</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从工程角度看，单纯提高预测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oracle 调度和 forecast-driven 调度的差异，可以形成“预测—调度—评估”的闭环。</w:t>
      </w:r>
    </w:p>
    <w:p>
      <w:pPr>
        <w:spacing w:after="120" w:before="0" w:line="360"/>
        <w:ind w:firstLine="480"/>
        <w:jc w:val="both"/>
      </w:pPr>
      <w:r>
        <w:rPr>
          <w:rFonts w:ascii="Times New Roman" w:eastAsia="SimSun" w:hAnsi="Times New Roman"/>
          <w:sz w:val="24"/>
          <w:szCs w:val="24"/>
        </w:rPr>
        <w:t xml:space="preserve">从应用角度看，本文实现的离线可视化平台能够展示站点地图、预测曲线、风险区间、调度路线和库存变化，为毕业设计答辩和后续系统扩展提供直观依据。虽然本文系统基于历史数据回测，不接实时库存和在线天气，但其工程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，将原始行程数据聚合为站点小时级出发量、到达量和净流量，并融合 Open-Meteo 天气数据</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、日历特征、站点静态属性、OpenStreetMap POI 特征</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第二，设计并比较多种需求预测模型。本文从 AGCRN baseline 出发，依次研究地理距离图、OD 关系图、目标变换、Graph WaveNet 结构、未来目标时间特征和净流量辅助损失的影响，并适配 CCRNN、ESG、GMRL 等外部论文模型作为对照。在此基础上，本文实现本地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FastAPI，负责读取历史数据、预测缓存、模型输出和调度结果；前端基于 React、MapLibre 和 ECharts，展示站点地图、调度路径、聚合净流量、库存边界和单站详情。平台支持 TFT-style、Graph WaveNet 和 oracle 等预测源切换，也支持 greedy 与 min-cost 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bike-km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 time + net-loss 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w:t>
      </w:r>
      <w:r>
        <w:rPr>
          <w:rFonts w:ascii="Times New Roman" w:eastAsia="Times New Roman" w:hAnsi="Times New Roman"/>
          <w:sz w:val="22"/>
          <w:szCs w:val="22"/>
          <w:vertAlign w:val="superscript"/>
        </w:rPr>
        <w:t xml:space="preserve">[4]</w:t>
      </w:r>
      <w:r>
        <w:rPr>
          <w:rFonts w:ascii="Times New Roman" w:eastAsia="SimSun" w:hAnsi="Times New Roman"/>
          <w:sz w:val="24"/>
          <w:szCs w:val="24"/>
        </w:rPr>
        <w:t xml:space="preserve">。这类方法结构清晰、可解释性强，但难以充分建模复杂的非线性关系和多源外部因素。随后，随机森林、XGBoost、LightGBM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w:t>
      </w:r>
      <w:r>
        <w:rPr>
          <w:rFonts w:ascii="Times New Roman" w:eastAsia="Times New Roman" w:hAnsi="Times New Roman"/>
          <w:sz w:val="22"/>
          <w:szCs w:val="22"/>
          <w:vertAlign w:val="superscript"/>
        </w:rPr>
        <w:t xml:space="preserve">[5-8]</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w:t>
      </w:r>
      <w:r>
        <w:rPr>
          <w:rFonts w:ascii="Times New Roman" w:eastAsia="Times New Roman" w:hAnsi="Times New Roman"/>
          <w:sz w:val="22"/>
          <w:szCs w:val="22"/>
          <w:vertAlign w:val="superscript"/>
        </w:rPr>
        <w:t xml:space="preserve">[19-22]</w:t>
      </w:r>
      <w:r>
        <w:rPr>
          <w:rFonts w:ascii="Times New Roman" w:eastAsia="SimSun" w:hAnsi="Times New Roman"/>
          <w:sz w:val="24"/>
          <w:szCs w:val="24"/>
        </w:rPr>
        <w:t xml:space="preserve">。这些工作说明共享单车预测已从单站时间序列建模转向多源时空关系建模，本文的数据集构建和模型选择也沿着这一方向展开。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w:t>
      </w:r>
      <w:r>
        <w:rPr>
          <w:rFonts w:ascii="Times New Roman" w:eastAsia="Times New Roman" w:hAnsi="Times New Roman"/>
          <w:sz w:val="22"/>
          <w:szCs w:val="22"/>
          <w:vertAlign w:val="superscript"/>
        </w:rPr>
        <w:t xml:space="preserve">[9-10]</w:t>
      </w:r>
      <w:r>
        <w:rPr>
          <w:rFonts w:ascii="Times New Roman" w:eastAsia="SimSun" w:hAnsi="Times New Roman"/>
          <w:sz w:val="24"/>
          <w:szCs w:val="24"/>
        </w:rPr>
        <w:t xml:space="preserve">。共享单车需求具有明显随机波动，尤其在低流量站点和特殊天气时段，单一点预测难以表达模型对未来状态的把握程度。因此，本文在点预测主线之外，引入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w:t>
      </w:r>
      <w:r>
        <w:rPr>
          <w:rFonts w:ascii="Times New Roman" w:eastAsia="Times New Roman" w:hAnsi="Times New Roman"/>
          <w:sz w:val="22"/>
          <w:szCs w:val="22"/>
          <w:vertAlign w:val="superscript"/>
        </w:rPr>
        <w:t xml:space="preserve">[11]</w:t>
      </w:r>
      <w:r>
        <w:rPr>
          <w:rFonts w:ascii="Times New Roman" w:eastAsia="SimSun" w:hAnsi="Times New Roman"/>
          <w:sz w:val="24"/>
          <w:szCs w:val="24"/>
        </w:rPr>
        <w:t xml:space="preserve">。Spatio-Temporal Graph Convolutional Network（STGCN）使用图卷积和时序卷积替代循环结构，提高训练效率</w:t>
      </w:r>
      <w:r>
        <w:rPr>
          <w:rFonts w:ascii="Times New Roman" w:eastAsia="Times New Roman" w:hAnsi="Times New Roman"/>
          <w:sz w:val="22"/>
          <w:szCs w:val="22"/>
          <w:vertAlign w:val="superscript"/>
        </w:rPr>
        <w:t xml:space="preserve">[12]</w:t>
      </w:r>
      <w:r>
        <w:rPr>
          <w:rFonts w:ascii="Times New Roman" w:eastAsia="SimSun" w:hAnsi="Times New Roman"/>
          <w:sz w:val="24"/>
          <w:szCs w:val="24"/>
        </w:rPr>
        <w:t xml:space="preserve">。Adaptive Graph Convolutional Recurrent Network（AGCRN）通过节点嵌入学习自适应邻接矩阵，减少对人工图结构的依赖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。Graph WaveNet 进一步将自适应图卷积与扩张因果卷积结合，通过指数增长的感受野捕获多尺度时间依赖</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的弱先验。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。本文采用折中方案：保留 adaptive graph 作为主要关系表达，同时引入训练期 OD top-k 图作为弱先验。这样既避免将“地理距离近”等同于“需求相关”，也避免将测试期流向信息泄漏到训练阶段。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。TFT 的一个重要特点是支持分位数预测，即不只输出单一点估计，还输出不同置信水平下的预测值</w:t>
      </w:r>
      <w:r>
        <w:rPr>
          <w:rFonts w:ascii="Times New Roman" w:eastAsia="Times New Roman" w:hAnsi="Times New Roman"/>
          <w:sz w:val="22"/>
          <w:szCs w:val="22"/>
          <w:vertAlign w:val="superscript"/>
        </w:rPr>
        <w:t xml:space="preserve">[10]</w:t>
      </w:r>
      <w:r>
        <w:rPr>
          <w:rFonts w:ascii="Times New Roman" w:eastAsia="SimSun" w:hAnsi="Times New Roman"/>
          <w:sz w:val="24"/>
          <w:szCs w:val="24"/>
        </w:rPr>
        <w:t xml:space="preserve">。对于共享单车调度而言，预测区间可以表达未来需求的不确定性，为保守或激进的调度策略提供输入。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本文实现的是本地 TFT-style 分位数模块，而不是官方 PyTorch Forecasting 的 TFT 复现。这样做的原因是项目整体采用 dense station tensor 口径，Python 环境和数据结构与官方库默认使用方式不完全一致。本文模块保留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L</m:t>
            </m:r>
          </m:e>
          <m:sub>
            <m:r>
              <m:t>q</m:t>
            </m:r>
          </m:sub>
        </m:sSub>
        <m:d>
          <m:dPr>
            <m:begChr m:val="("/>
            <m:sepChr m:val=""/>
            <m:endChr m:val=")"/>
            <m:grow/>
          </m:dPr>
          <m:e>
            <m:r>
              <m:t>y</m:t>
            </m:r>
            <m:r>
              <m:rPr>
                <m:sty m:val="p"/>
              </m:rPr>
              <m:t>,</m:t>
            </m:r>
            <m:acc>
              <m:accPr>
                <m:chr m:val="̂"/>
              </m:accPr>
              <m:e>
                <m:r>
                  <m:t>y</m:t>
                </m:r>
              </m:e>
            </m:acc>
          </m:e>
        </m:d>
        <m:r>
          <m:rPr>
            <m:sty m:val="p"/>
          </m:rPr>
          <m:t>=</m:t>
        </m:r>
        <m:r>
          <m:rPr>
            <m:sty m:val="p"/>
          </m:rPr>
          <m:t>max</m:t>
        </m:r>
        <m:d>
          <m:dPr>
            <m:begChr m:val="("/>
            <m:sepChr m:val=""/>
            <m:endChr m:val=")"/>
            <m:grow/>
          </m:dPr>
          <m:e>
            <m:r>
              <m:t>q</m:t>
            </m:r>
            <m:d>
              <m:dPr>
                <m:begChr m:val="("/>
                <m:sepChr m:val=""/>
                <m:endChr m:val=")"/>
                <m:grow/>
              </m:dPr>
              <m:e>
                <m:r>
                  <m:t>y</m:t>
                </m:r>
                <m:r>
                  <m:rPr>
                    <m:sty m:val="p"/>
                  </m:rPr>
                  <m:t>−</m:t>
                </m:r>
                <m:acc>
                  <m:accPr>
                    <m:chr m:val="̂"/>
                  </m:accPr>
                  <m:e>
                    <m:r>
                      <m:t>y</m:t>
                    </m:r>
                  </m:e>
                </m:acc>
              </m:e>
            </m:d>
            <m:r>
              <m:rPr>
                <m:sty m:val="p"/>
              </m:rPr>
              <m:t>,</m:t>
            </m:r>
            <m:d>
              <m:dPr>
                <m:begChr m:val="("/>
                <m:sepChr m:val=""/>
                <m:endChr m:val=")"/>
                <m:grow/>
              </m:dPr>
              <m:e>
                <m:r>
                  <m:t>q</m:t>
                </m:r>
                <m:r>
                  <m:rPr>
                    <m:sty m:val="p"/>
                  </m:rPr>
                  <m:t>−</m:t>
                </m:r>
                <m:r>
                  <m:t>1</m:t>
                </m:r>
              </m:e>
            </m:d>
            <m:d>
              <m:dPr>
                <m:begChr m:val="("/>
                <m:sepChr m:val=""/>
                <m:endChr m:val=")"/>
                <m:grow/>
              </m:dPr>
              <m:e>
                <m:r>
                  <m:t>y</m:t>
                </m:r>
                <m:r>
                  <m:rPr>
                    <m:sty m:val="p"/>
                  </m:rPr>
                  <m:t>−</m:t>
                </m:r>
                <m:acc>
                  <m:accPr>
                    <m:chr m:val="̂"/>
                  </m:accPr>
                  <m:e>
                    <m:r>
                      <m:t>y</m:t>
                    </m:r>
                  </m:e>
                </m:acc>
              </m:e>
            </m:d>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(2-1)</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w:t>
      </w:r>
      <w:r>
        <w:rPr>
          <w:rFonts w:ascii="Times New Roman" w:eastAsia="Times New Roman" w:hAnsi="Times New Roman"/>
          <w:sz w:val="22"/>
          <w:szCs w:val="22"/>
          <w:vertAlign w:val="superscript"/>
        </w:rPr>
        <w:t xml:space="preserve">[23]</w:t>
      </w:r>
      <w:r>
        <w:rPr>
          <w:rFonts w:ascii="Times New Roman" w:eastAsia="SimSun" w:hAnsi="Times New Roman"/>
          <w:sz w:val="24"/>
          <w:szCs w:val="24"/>
        </w:rPr>
        <w:t xml:space="preserve">。完整 VRP 能够描述车辆容量、路径顺序、服务时间和多车协同，但建模和求解复杂度较高。对于毕业设计原型系统，本文优先关注“站点间应搬多少车”的任务生成与匹配问题，再将路径规划作为后续扩展方向。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 rolling horizon 框架。每个决策时刻，系统读取当前库存，并根据未来 12 小时净流量预测推演库存变化。如果某站点未来库存低于安全下界，则视为 receiver；如果高于安全上界，则视为 donor。随后，算法在 donor 和 receiver 之间进行匹配。贪心算法优先选择距离近的供需对，简单可解释；最小费用流算法从全局角度最小化总 bike-km，更适合作为主调度算法</w:t>
      </w:r>
      <w:r>
        <w:rPr>
          <w:rFonts w:ascii="Times New Roman" w:eastAsia="Times New Roman" w:hAnsi="Times New Roman"/>
          <w:sz w:val="22"/>
          <w:szCs w:val="22"/>
          <w:vertAlign w:val="superscript"/>
        </w:rPr>
        <w:t xml:space="preserve">[24]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w:t>
      </w:r>
      <w:r>
        <w:rPr>
          <w:rFonts w:ascii="Times New Roman" w:eastAsia="Times New Roman" w:hAnsi="Times New Roman"/>
          <w:sz w:val="22"/>
          <w:szCs w:val="22"/>
          <w:vertAlign w:val="superscript"/>
        </w:rPr>
        <w:t xml:space="preserve">[25-28]</w:t>
      </w:r>
      <w:r>
        <w:rPr>
          <w:rFonts w:ascii="Times New Roman" w:eastAsia="SimSun" w:hAnsi="Times New Roman"/>
          <w:sz w:val="24"/>
          <w:szCs w:val="24"/>
        </w:rPr>
        <w:t xml:space="preserve">。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演示作用，也承担实验诊断作用。通过地图可以观察调度任务是否集中在少数区域，通过聚合净流量曲线可以发现模型是否存在峰谷相位偏移，通过单站库存曲线可以检查某个站点的预测误差如何传导为缺车或满站风险。本文在模型迭代过程中曾通过可视化发现 Graph WaveNet v1 在部分时段存在净流量相位偏移，进而设计了未来目标时间特征和净流量辅助损失。因此，可视化平台也是模型调试和结果解释的重要工具。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。原始订单记录包含骑行开始时间、结束时间、起点站、终点站、站点经纬度和骑行类型等信息。为了构建站点级预测任务，本文将订单聚合到小时粒度，分别统计每个站点每小时的出发量 dep_count 和到达量 arr_count，并定义净流量：</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t</m:t>
            </m:r>
            <m:r>
              <m:rPr>
                <m:sty m:val="p"/>
              </m:rPr>
              <m:t>,</m:t>
            </m:r>
            <m:r>
              <m:t>i</m:t>
            </m:r>
          </m:sub>
        </m:sSub>
        <m:r>
          <m:rPr>
            <m:sty m:val="p"/>
          </m:rPr>
          <m:t>=</m:t>
        </m:r>
        <m:sSub>
          <m:e>
            <m:r>
              <m:rPr>
                <m:sty m:val="p"/>
              </m:rPr>
              <m:t>a</m:t>
            </m:r>
            <m:r>
              <m:rPr>
                <m:sty m:val="p"/>
              </m:rPr>
              <m:t>r</m:t>
            </m:r>
            <m:r>
              <m:rPr>
                <m:sty m:val="p"/>
              </m:rPr>
              <m:t>r</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r>
          <m:rPr>
            <m:sty m:val="p"/>
          </m:rPr>
          <m:t>−</m:t>
        </m:r>
        <m:sSub>
          <m:e>
            <m:r>
              <m:rPr>
                <m:sty m:val="p"/>
              </m:rPr>
              <m:t>d</m:t>
            </m:r>
            <m:r>
              <m:rPr>
                <m:sty m:val="p"/>
              </m:rPr>
              <m:t>e</m:t>
            </m:r>
            <m:r>
              <m:rPr>
                <m:sty m:val="p"/>
              </m:rPr>
              <m:t>p</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(3-1)</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。天气特征包括温度、降水、风速等，可与站点小时面板按时间对齐。POI 数据来自 OpenStreetMap，通过 Overpass API 下载纽约区域内的教育、餐饮、医疗、休闲、办公、零售和交通设施等元素</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w:t>
      </w:r>
      <w:r>
        <w:rPr>
          <w:rFonts w:ascii="Courier New" w:eastAsia="SimSun" w:hAnsi="Courier New"/>
          <w:sz w:val="22"/>
          <w:szCs w:val="22"/>
        </w:rPr>
        <w:t xml:space="preserve">ts × node_idx</w:t>
      </w:r>
      <w:r>
        <w:rPr>
          <w:rFonts w:ascii="Times New Roman" w:eastAsia="SimSun" w:hAnsi="Times New Roman"/>
          <w:sz w:val="24"/>
          <w:szCs w:val="24"/>
        </w:rPr>
        <w:t xml:space="preserve">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个站点作为主实验对象。该选择既覆盖了主要业务需求，又使图神经网络和可视化平台保持可运行规模。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X</m:t>
            </m:r>
          </m:e>
          <m:sub>
            <m:r>
              <m:t>t</m:t>
            </m:r>
            <m:r>
              <m:rPr>
                <m:sty m:val="p"/>
              </m:rPr>
              <m:t>−</m:t>
            </m:r>
            <m:r>
              <m:t>11</m:t>
            </m:r>
            <m:r>
              <m:rPr>
                <m:sty m:val="p"/>
              </m:rPr>
              <m:t>:</m:t>
            </m:r>
            <m:r>
              <m:t>t</m:t>
            </m:r>
          </m:sub>
        </m:sSub>
        <m:r>
          <m:rPr>
            <m:sty m:val="p"/>
          </m:rPr>
          <m:t>→</m:t>
        </m:r>
        <m:sSub>
          <m:e>
            <m:r>
              <m:t>Y</m:t>
            </m:r>
          </m:e>
          <m:sub>
            <m:r>
              <m:t>t</m:t>
            </m:r>
            <m:r>
              <m:rPr>
                <m:sty m:val="p"/>
              </m:rPr>
              <m:t>+</m:t>
            </m:r>
            <m:r>
              <m:t>1</m:t>
            </m:r>
            <m:r>
              <m:rPr>
                <m:sty m:val="p"/>
              </m:rPr>
              <m:t>:</m:t>
            </m:r>
            <m:r>
              <m:t>t</m:t>
            </m:r>
            <m:r>
              <m:rPr>
                <m:sty m:val="p"/>
              </m:rPr>
              <m:t>+</m:t>
            </m:r>
            <m:r>
              <m:t>12</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(3-2)</w:t>
      </w:r>
    </w:p>
    <w:p>
      <w:pPr>
        <w:spacing w:after="120" w:before="0" w:line="360"/>
        <w:ind w:firstLine="480"/>
        <w:jc w:val="both"/>
      </w:pPr>
      <w:r>
        <w:rPr>
          <w:rFonts w:ascii="Times New Roman" w:eastAsia="SimSun" w:hAnsi="Times New Roman"/>
          <w:sz w:val="24"/>
          <w:szCs w:val="24"/>
        </w:rPr>
        <w:t xml:space="preserve">其中 X 包含多源特征，Y 包含未来 12 小时每站 dep_count 和 arr_count。数据按时间顺序切分为训练集、验证集和测试集，比例为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报告指标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又可能被大量零需求样本稀释。top883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dep_count 和 arr_count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 inventory_hat，并根据站点净流量范围推断 capacity_hat，作为离线回测中的代理库存和容量。</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w:t>
      </w:r>
      <w:r>
        <w:rPr>
          <w:rFonts w:ascii="Courier New" w:eastAsia="SimSun" w:hAnsi="Courier New"/>
          <w:sz w:val="22"/>
          <w:szCs w:val="22"/>
        </w:rPr>
        <w:t xml:space="preserve">nyc_top883_poi_v1</w:t>
      </w:r>
      <w:r>
        <w:rPr>
          <w:rFonts w:ascii="Times New Roman" w:eastAsia="SimSun" w:hAnsi="Times New Roman"/>
          <w:sz w:val="24"/>
          <w:szCs w:val="24"/>
        </w:rPr>
        <w:t xml:space="preserve">数据集在原有 65 维特征基础上增加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 horizon 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 dense OD 图中派生 row-wise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 forward 和 reverse 非零边数均为 17,580，密度约 0.0225，保留训练期约 32% 的 OD 流量质量。相比 dense OD 图，top-k 图更加稀疏，减少了低频噪声边。模型训练中，OD 图只作为弱先验，与自适应图一起进入图卷积支持集。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数据集版本</w:t>
      </w:r>
    </w:p>
    <w:p>
      <w:pPr>
        <w:spacing w:after="120" w:before="0" w:line="360"/>
        <w:ind w:firstLine="480"/>
        <w:jc w:val="both"/>
      </w:pPr>
      <w:r>
        <w:rPr>
          <w:rFonts w:ascii="Times New Roman" w:eastAsia="SimSun" w:hAnsi="Times New Roman"/>
          <w:sz w:val="24"/>
          <w:szCs w:val="24"/>
        </w:rPr>
        <w:t xml:space="preserve">本文保留了多个数据集版本，以满足研究迭代可追溯要求。早期版本包括</w:t>
      </w:r>
      <w:r>
        <w:rPr>
          <w:rFonts w:ascii="Courier New" w:eastAsia="SimSun" w:hAnsi="Courier New"/>
          <w:sz w:val="22"/>
          <w:szCs w:val="22"/>
        </w:rPr>
        <w:t xml:space="preserve">nyc_top50</w:t>
      </w:r>
      <w:r>
        <w:rPr>
          <w:rFonts w:ascii="Times New Roman" w:eastAsia="SimSun" w:hAnsi="Times New Roman"/>
          <w:sz w:val="24"/>
          <w:szCs w:val="24"/>
        </w:rPr>
        <w:t xml:space="preserve">、</w:t>
      </w:r>
      <w:r>
        <w:rPr>
          <w:rFonts w:ascii="Courier New" w:eastAsia="SimSun" w:hAnsi="Courier New"/>
          <w:sz w:val="22"/>
          <w:szCs w:val="22"/>
        </w:rPr>
        <w:t xml:space="preserve">nyc_top883</w:t>
      </w:r>
      <w:r>
        <w:rPr>
          <w:rFonts w:ascii="Times New Roman" w:eastAsia="SimSun" w:hAnsi="Times New Roman"/>
          <w:sz w:val="24"/>
          <w:szCs w:val="24"/>
        </w:rPr>
        <w:t xml:space="preserve">和</w:t>
      </w:r>
      <w:r>
        <w:rPr>
          <w:rFonts w:ascii="Courier New" w:eastAsia="SimSun" w:hAnsi="Courier New"/>
          <w:sz w:val="22"/>
          <w:szCs w:val="22"/>
        </w:rPr>
        <w:t xml:space="preserve">nyc_top883_v2</w:t>
      </w:r>
      <w:r>
        <w:rPr>
          <w:rFonts w:ascii="Times New Roman" w:eastAsia="SimSun" w:hAnsi="Times New Roman"/>
          <w:sz w:val="24"/>
          <w:szCs w:val="24"/>
        </w:rPr>
        <w:t xml:space="preserve">，其中</w:t>
      </w:r>
      <w:r>
        <w:rPr>
          <w:rFonts w:ascii="Courier New" w:eastAsia="SimSun" w:hAnsi="Courier New"/>
          <w:sz w:val="22"/>
          <w:szCs w:val="22"/>
        </w:rPr>
        <w:t xml:space="preserve">nyc_top883_v2</w:t>
      </w:r>
      <w:r>
        <w:rPr>
          <w:rFonts w:ascii="Times New Roman" w:eastAsia="SimSun" w:hAnsi="Times New Roman"/>
          <w:sz w:val="24"/>
          <w:szCs w:val="24"/>
        </w:rPr>
        <w:t xml:space="preserve">加入节假日和历史统计特征。后续版本</w:t>
      </w:r>
      <w:r>
        <w:rPr>
          <w:rFonts w:ascii="Courier New" w:eastAsia="SimSun" w:hAnsi="Courier New"/>
          <w:sz w:val="22"/>
          <w:szCs w:val="22"/>
        </w:rPr>
        <w:t xml:space="preserve">nyc_top883_poi_v1</w:t>
      </w:r>
      <w:r>
        <w:rPr>
          <w:rFonts w:ascii="Times New Roman" w:eastAsia="SimSun" w:hAnsi="Times New Roman"/>
          <w:sz w:val="24"/>
          <w:szCs w:val="24"/>
        </w:rPr>
        <w:t xml:space="preserve">进一步加入 POI 特征，用于 TFT-style 分位数模型和 POI 消融实验。</w:t>
      </w:r>
    </w:p>
    <w:p>
      <w:pPr>
        <w:spacing w:after="120" w:before="0" w:line="360"/>
        <w:ind w:firstLine="480"/>
        <w:jc w:val="both"/>
      </w:pPr>
      <w:r>
        <w:rPr>
          <w:rFonts w:ascii="Times New Roman" w:eastAsia="SimSun" w:hAnsi="Times New Roman"/>
          <w:sz w:val="24"/>
          <w:szCs w:val="24"/>
        </w:rPr>
        <w:t xml:space="preserve">表3-1给出主要数据集版本。</w:t>
      </w:r>
    </w:p>
    <w:p>
      <w:pPr>
        <w:pageBreakBefore/>
        <w:spacing w:after="0" w:before="0" w:line="240"/>
      </w:pPr>
      <w:r>
        <w:rPr>
          <w:rFonts w:ascii="Times New Roman" w:eastAsia="SimSun" w:hAnsi="Times New Roman"/>
          <w:sz w:val="24"/>
          <w:szCs w:val="24"/>
        </w:rPr>
        <w:t xml:space="preserve"/>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2128"/>
        <w:gridCol w:w="784"/>
        <w:gridCol w:w="784"/>
        <w:gridCol w:w="2687"/>
        <w:gridCol w:w="2687"/>
      </w:tblGrid>
      <w:tr>
        <w:trPr>
          <w:tblHeader/>
        </w:trPr>
        <w:tc>
          <w:tcPr>
            <w:tcW w:type="dxa" w:w="212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数据集版本</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78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6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基础时间、天气、站点和流量特征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早期 AGCRN、Graph WaveNet 主线</w:t>
            </w:r>
          </w:p>
        </w:tc>
      </w:tr>
      <w:tr>
        <w:trPr>
          <w:cantSplit/>
        </w:trPr>
        <w:tc>
          <w:tcPr>
            <w:tcW w:type="dxa" w:w="212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nyc_top883_v2</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增加节假日、lag 和 rolling 特征</w:t>
            </w:r>
          </w:p>
        </w:tc>
        <w:tc>
          <w:tcPr>
            <w:tcW w:type="dxa" w:w="26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调度库存面板和特征增强实验</w:t>
            </w:r>
          </w:p>
        </w:tc>
      </w:tr>
      <w:tr>
        <w:trPr>
          <w:cantSplit/>
        </w:trPr>
        <w:tc>
          <w:tcPr>
            <w:tcW w:type="dxa" w:w="212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nyc_top883_poi_v1</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78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 500m POI 聚合特征</w:t>
            </w:r>
          </w:p>
        </w:tc>
        <w:tc>
          <w:tcPr>
            <w:tcW w:type="dxa" w:w="26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TFT-style 分位数预测和 POI 消融</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本文将每一次数据集和实验口径变化都保留为独立版本，避免在原目录中直接覆盖旧结果。例如，</w:t>
      </w:r>
      <w:r>
        <w:rPr>
          <w:rFonts w:ascii="Courier New" w:eastAsia="SimSun" w:hAnsi="Courier New"/>
          <w:sz w:val="22"/>
          <w:szCs w:val="22"/>
        </w:rPr>
        <w:t xml:space="preserve">nyc_top883</w:t>
      </w:r>
      <w:r>
        <w:rPr>
          <w:rFonts w:ascii="Times New Roman" w:eastAsia="SimSun" w:hAnsi="Times New Roman"/>
          <w:sz w:val="24"/>
          <w:szCs w:val="24"/>
        </w:rPr>
        <w:t xml:space="preserve">、</w:t>
      </w:r>
      <w:r>
        <w:rPr>
          <w:rFonts w:ascii="Courier New" w:eastAsia="SimSun" w:hAnsi="Courier New"/>
          <w:sz w:val="22"/>
          <w:szCs w:val="22"/>
        </w:rPr>
        <w:t xml:space="preserve">nyc_top883_v2</w:t>
      </w:r>
      <w:r>
        <w:rPr>
          <w:rFonts w:ascii="Times New Roman" w:eastAsia="SimSun" w:hAnsi="Times New Roman"/>
          <w:sz w:val="24"/>
          <w:szCs w:val="24"/>
        </w:rPr>
        <w:t xml:space="preserve">和</w:t>
      </w:r>
      <w:r>
        <w:rPr>
          <w:rFonts w:ascii="Courier New" w:eastAsia="SimSun" w:hAnsi="Courier New"/>
          <w:sz w:val="22"/>
          <w:szCs w:val="22"/>
        </w:rPr>
        <w:t xml:space="preserve">nyc_top883_poi_v1</w:t>
      </w:r>
      <w:r>
        <w:rPr>
          <w:rFonts w:ascii="Times New Roman" w:eastAsia="SimSun" w:hAnsi="Times New Roman"/>
          <w:sz w:val="24"/>
          <w:szCs w:val="24"/>
        </w:rPr>
        <w:t xml:space="preserve">分别代表不同特征阶段；预测模型也按</w:t>
      </w:r>
      <w:r>
        <w:rPr>
          <w:rFonts w:ascii="Courier New" w:eastAsia="SimSun" w:hAnsi="Courier New"/>
          <w:sz w:val="22"/>
          <w:szCs w:val="22"/>
        </w:rPr>
        <w:t xml:space="preserve">agcrn_nyc_objective_v1</w:t>
      </w:r>
      <w:r>
        <w:rPr>
          <w:rFonts w:ascii="Times New Roman" w:eastAsia="SimSun" w:hAnsi="Times New Roman"/>
          <w:sz w:val="24"/>
          <w:szCs w:val="24"/>
        </w:rPr>
        <w:t xml:space="preserve">、</w:t>
      </w:r>
      <w:r>
        <w:rPr>
          <w:rFonts w:ascii="Courier New" w:eastAsia="SimSun" w:hAnsi="Courier New"/>
          <w:sz w:val="22"/>
          <w:szCs w:val="22"/>
        </w:rPr>
        <w:t xml:space="preserve">agcrn_nyc_gwnet_time_netloss_v1</w:t>
      </w:r>
      <w:r>
        <w:rPr>
          <w:rFonts w:ascii="Times New Roman" w:eastAsia="SimSun" w:hAnsi="Times New Roman"/>
          <w:sz w:val="24"/>
          <w:szCs w:val="24"/>
        </w:rPr>
        <w:t xml:space="preserve">、</w:t>
      </w:r>
      <w:r>
        <w:rPr>
          <w:rFonts w:ascii="Courier New" w:eastAsia="SimSun" w:hAnsi="Courier New"/>
          <w:sz w:val="22"/>
          <w:szCs w:val="22"/>
        </w:rPr>
        <w:t xml:space="preserve">tft_quantile_calibrator_v1</w:t>
      </w:r>
      <w:r>
        <w:rPr>
          <w:rFonts w:ascii="Times New Roman" w:eastAsia="SimSun" w:hAnsi="Times New Roman"/>
          <w:sz w:val="24"/>
          <w:szCs w:val="24"/>
        </w:rPr>
        <w:t xml:space="preserve">等目录保留。每个正式 run 均保存</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或对应调度</w:t>
      </w:r>
      <w:r>
        <w:rPr>
          <w:rFonts w:ascii="Courier New" w:eastAsia="SimSun" w:hAnsi="Courier New"/>
          <w:sz w:val="22"/>
          <w:szCs w:val="22"/>
        </w:rPr>
        <w:t xml:space="preserve">run_summary.json</w:t>
      </w:r>
      <w:r>
        <w:rPr>
          <w:rFonts w:ascii="Times New Roman" w:eastAsia="SimSun" w:hAnsi="Times New Roman"/>
          <w:sz w:val="24"/>
          <w:szCs w:val="24"/>
        </w:rPr>
        <w:t xml:space="preserve">，便于论文写作时追溯数据来源。</w:t>
      </w:r>
    </w:p>
    <w:p>
      <w:pPr>
        <w:spacing w:after="120" w:before="0" w:line="360"/>
        <w:ind w:firstLine="480"/>
        <w:jc w:val="both"/>
      </w:pPr>
      <w:r>
        <w:rPr>
          <w:rFonts w:ascii="Times New Roman" w:eastAsia="SimSun" w:hAnsi="Times New Roman"/>
          <w:sz w:val="24"/>
          <w:szCs w:val="24"/>
        </w:rPr>
        <w:t xml:space="preserve">可复现性控制还体现在指标口径统一上。预测指标均在反归一化后的原始订单计数尺度上报告，避免直接比较不同模型空间下的损失；调度指标均在同一测试集 1749 个决策窗口上计算，库存安全带和每小时搬运上限保持一致。对于 smoke test、probe 和失败启动记录，本文只作为工程调试记录，不纳入正式模型排名。</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图泄漏控制和版本化实验记录，本文为后续模型训练和调度回测提供了稳定的数据基础。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X</m:t>
        </m:r>
        <m:r>
          <m:rPr>
            <m:sty m:val="p"/>
          </m:rPr>
          <m:t>∈</m:t>
        </m:r>
        <m:sSup>
          <m:e>
            <m:r>
              <m:rPr>
                <m:scr m:val="double-struck"/>
                <m:sty m:val="p"/>
              </m:rPr>
              <m:t>R</m:t>
            </m:r>
          </m:e>
          <m:sup>
            <m:r>
              <m:t>B</m:t>
            </m:r>
            <m:r>
              <m:rPr>
                <m:sty m:val="p"/>
              </m:rPr>
              <m:t>×</m:t>
            </m:r>
            <m:sSub>
              <m:e>
                <m:r>
                  <m:t>T</m:t>
                </m:r>
              </m:e>
              <m:sub>
                <m:r>
                  <m:rPr>
                    <m:sty m:val="p"/>
                  </m:rPr>
                  <m:t>i</m:t>
                </m:r>
                <m:r>
                  <m:rPr>
                    <m:sty m:val="p"/>
                  </m:rPr>
                  <m:t>n</m:t>
                </m:r>
              </m:sub>
            </m:sSub>
            <m:r>
              <m:rPr>
                <m:sty m:val="p"/>
              </m:rPr>
              <m:t>×</m:t>
            </m:r>
            <m:r>
              <m:t>N</m:t>
            </m:r>
            <m:r>
              <m:rPr>
                <m:sty m:val="p"/>
              </m:rPr>
              <m:t>×</m:t>
            </m:r>
            <m:r>
              <m:t>F</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(4-1)</w:t>
      </w:r>
    </w:p>
    <w:p>
      <w:pPr>
        <w:spacing w:after="120" w:before="0" w:line="360"/>
        <w:ind w:firstLine="480"/>
        <w:jc w:val="both"/>
      </w:pPr>
      <w:r>
        <w:rPr>
          <w:rFonts w:ascii="Times New Roman" w:eastAsia="SimSun" w:hAnsi="Times New Roman"/>
          <w:sz w:val="24"/>
          <w:szCs w:val="24"/>
        </w:rPr>
        <w:t xml:space="preserve">其中 B 为 batch size，T_in=12，N=883，F 为特征维度。输出张量为：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(4-2)</w:t>
      </w:r>
    </w:p>
    <w:p>
      <w:pPr>
        <w:spacing w:after="120" w:before="0" w:line="360"/>
        <w:ind w:firstLine="480"/>
        <w:jc w:val="both"/>
      </w:pPr>
      <w:r>
        <w:rPr>
          <w:rFonts w:ascii="Times New Roman" w:eastAsia="SimSun" w:hAnsi="Times New Roman"/>
          <w:sz w:val="24"/>
          <w:szCs w:val="24"/>
        </w:rPr>
        <w:t xml:space="preserve">其中 T_out=12，最后一维两个通道分别为 dep_count 和 arr_count。对于 TFT-style 分位数模型，输出进一步扩展为：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r>
              <m:rPr>
                <m:sty m:val="p"/>
              </m:rPr>
              <m:t>×</m:t>
            </m:r>
            <m:r>
              <m:t>3</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 dep 和 arr 两个通道，模型输出不仅要分别拟合二者，还要保证二者差值能够合理反映库存变化。若 dep 和 arr 的单独误差较低，但误差方向相互抵消或放大，净流量预测仍可能偏离真实库存变化。因此，本文在 Graph WaveNet time + net-loss 中显式加入净流量辅助损失，在调度章节中也以</w:t>
      </w:r>
      <w:r>
        <w:rPr>
          <w:rFonts w:ascii="Courier New" w:eastAsia="SimSun" w:hAnsi="Courier New"/>
          <w:sz w:val="22"/>
          <w:szCs w:val="22"/>
        </w:rPr>
        <w:t xml:space="preserve">arr - dep</w:t>
      </w:r>
      <w:r>
        <w:rPr>
          <w:rFonts w:ascii="Times New Roman" w:eastAsia="SimSun" w:hAnsi="Times New Roman"/>
          <w:sz w:val="24"/>
          <w:szCs w:val="24"/>
        </w:rPr>
        <w:t xml:space="preserve">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 baseline。AGCRN 使用节点嵌入学习自适应图结构，并通过图卷积循环单元建模时间依赖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。早期 top883 raw target 实验平均 MAE 为 2.2096。</w:t>
      </w:r>
    </w:p>
    <w:p>
      <w:pPr>
        <w:spacing w:after="120" w:before="0" w:line="360"/>
        <w:ind w:firstLine="480"/>
        <w:jc w:val="both"/>
      </w:pPr>
      <w:r>
        <w:rPr>
          <w:rFonts w:ascii="Times New Roman" w:eastAsia="SimSun" w:hAnsi="Times New Roman"/>
          <w:sz w:val="24"/>
          <w:szCs w:val="24"/>
        </w:rPr>
        <w:t xml:space="preserve">AGCRN 适合作为本文早期 baseline 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 adaptive-only baseline。这说明在共享单车场景中，距离近不一定代表需求变化相关。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 dense OD 图。训练期 OD 图能够反映站点间真实骑行流向，但 dense 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 dense weak OD。该结果说明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y</m:t>
        </m:r>
        <m:r>
          <m:rPr>
            <m:sty m:val="p"/>
          </m:rPr>
          <m:t>′</m:t>
        </m:r>
        <m:r>
          <m:rPr>
            <m:sty m:val="p"/>
          </m:rPr>
          <m:t>=</m:t>
        </m:r>
        <m:r>
          <m:rPr>
            <m:sty m:val="p"/>
          </m:rPr>
          <m:t>log</m:t>
        </m:r>
        <m:d>
          <m:dPr>
            <m:begChr m:val="("/>
            <m:sepChr m:val=""/>
            <m:endChr m:val=")"/>
            <m:grow/>
          </m:dPr>
          <m:e>
            <m:r>
              <m:t>1</m:t>
            </m:r>
            <m:r>
              <m:rPr>
                <m:sty m:val="p"/>
              </m:rPr>
              <m:t>+</m:t>
            </m:r>
            <m:r>
              <m:t>y</m:t>
            </m:r>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(4-4)</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 raw top-k20 的 2.1951 有明显改善。seasonal residual、Huber 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seasonal residual 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 time + net-loss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。相比 AGCRN 的 recurrent encoder，扩张卷积可以并行计算，感受野随层数指数增长，更适合多步交通预测。本文 Graph WaveNet v1 使用 2 个 block，每个 block 3 层扩张卷积，扩张率为 1、2、4，并使用 weak top-k20 OD 图和 adaptive graph 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v1 对部分样例的全网净流量峰谷存在相位偏移。由于调度算法直接使用净流量预测，本文进一步设计 Graph WaveNet time + net-loss 版本。该版本加入未来目标时间特征，包括目标小时、星期、月份和周末标志的编码，并将原有 horizon readout 改为 time-conditioned readout，使每个未来步长都能感知自己的目标时间身份。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L</m:t>
        </m:r>
        <m:r>
          <m:rPr>
            <m:sty m:val="p"/>
          </m:rPr>
          <m:t>o</m:t>
        </m:r>
        <m:r>
          <m:rPr>
            <m:sty m:val="p"/>
          </m:rPr>
          <m:t>s</m:t>
        </m:r>
        <m:r>
          <m:rPr>
            <m:sty m:val="p"/>
          </m:rPr>
          <m:t>s</m:t>
        </m:r>
        <m:r>
          <m:rPr>
            <m:sty m:val="p"/>
          </m:rPr>
          <m:t>=</m:t>
        </m:r>
        <m:sSubSup>
          <m:e>
            <m:r>
              <m:rPr>
                <m:sty m:val="p"/>
              </m:rPr>
              <m:t>M</m:t>
            </m:r>
            <m:r>
              <m:rPr>
                <m:sty m:val="p"/>
              </m:rPr>
              <m:t>A</m:t>
            </m:r>
            <m:r>
              <m:rPr>
                <m:sty m:val="p"/>
              </m:rPr>
              <m:t>E</m:t>
            </m:r>
          </m:e>
          <m:sub>
            <m:r>
              <m:rPr>
                <m:sty m:val="p"/>
              </m:rPr>
              <m:t>d</m:t>
            </m:r>
            <m:r>
              <m:rPr>
                <m:sty m:val="p"/>
              </m:rPr>
              <m:t>e</m:t>
            </m:r>
            <m:r>
              <m:rPr>
                <m:sty m:val="p"/>
              </m:rPr>
              <m:t>p</m:t>
            </m:r>
            <m:r>
              <m:rPr>
                <m:sty m:val="p"/>
              </m:rPr>
              <m:t>,</m:t>
            </m:r>
            <m:r>
              <m:rPr>
                <m:sty m:val="p"/>
              </m:rPr>
              <m:t>a</m:t>
            </m:r>
            <m:r>
              <m:rPr>
                <m:sty m:val="p"/>
              </m:rPr>
              <m:t>r</m:t>
            </m:r>
            <m:r>
              <m:rPr>
                <m:sty m:val="p"/>
              </m:rPr>
              <m:t>r</m:t>
            </m:r>
          </m:sub>
          <m:sup>
            <m:r>
              <m:rPr>
                <m:sty m:val="p"/>
              </m:rPr>
              <m:t>m</m:t>
            </m:r>
            <m:r>
              <m:rPr>
                <m:sty m:val="p"/>
              </m:rPr>
              <m:t>o</m:t>
            </m:r>
            <m:r>
              <m:rPr>
                <m:sty m:val="p"/>
              </m:rPr>
              <m:t>d</m:t>
            </m:r>
            <m:r>
              <m:rPr>
                <m:sty m:val="p"/>
              </m:rPr>
              <m:t>e</m:t>
            </m:r>
            <m:r>
              <m:rPr>
                <m:sty m:val="p"/>
              </m:rPr>
              <m:t>l</m:t>
            </m:r>
          </m:sup>
        </m:sSubSup>
        <m:r>
          <m:rPr>
            <m:sty m:val="p"/>
          </m:rPr>
          <m:t>+</m:t>
        </m:r>
        <m:r>
          <m:t>λ</m:t>
        </m:r>
        <m:sSubSup>
          <m:e>
            <m:r>
              <m:rPr>
                <m:sty m:val="p"/>
              </m:rPr>
              <m:t>M</m:t>
            </m:r>
            <m:r>
              <m:rPr>
                <m:sty m:val="p"/>
              </m:rPr>
              <m:t>A</m:t>
            </m:r>
            <m:r>
              <m:rPr>
                <m:sty m:val="p"/>
              </m:rPr>
              <m:t>E</m:t>
            </m:r>
          </m:e>
          <m:sub>
            <m:r>
              <m:rPr>
                <m:sty m:val="p"/>
              </m:rPr>
              <m:t>n</m:t>
            </m:r>
            <m:r>
              <m:rPr>
                <m:sty m:val="p"/>
              </m:rPr>
              <m:t>e</m:t>
            </m:r>
            <m:r>
              <m:rPr>
                <m:sty m:val="p"/>
              </m:rPr>
              <m:t>t</m:t>
            </m:r>
          </m:sub>
          <m:sup>
            <m:r>
              <m:rPr>
                <m:sty m:val="p"/>
              </m:rPr>
              <m:t>c</m:t>
            </m:r>
            <m:r>
              <m:rPr>
                <m:sty m:val="p"/>
              </m:rPr>
              <m:t>o</m:t>
            </m:r>
            <m:r>
              <m:rPr>
                <m:sty m:val="p"/>
              </m:rPr>
              <m:t>u</m:t>
            </m:r>
            <m:r>
              <m:rPr>
                <m:sty m:val="p"/>
              </m:rPr>
              <m:t>n</m:t>
            </m:r>
            <m:r>
              <m:rPr>
                <m:sty m:val="p"/>
              </m:rPr>
              <m:t>t</m:t>
            </m:r>
          </m:sup>
        </m:sSub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(4-5)</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 readout 输出未来 12 个步长，那么不同 horizon 的时间身份主要由输出位置隐式表达。对于共享单车这种强日周期任务，未来第 1 小时和第 12 小时可能对应完全不同的通勤阶段。time-conditioned readout 将目标小时、星期和月份显式注入每个 horizon，使模型能够区分“预测未来第几步”和“预测未来哪个时间点”。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净流量辅助损失则体现了预测模型与调度任务的耦合。dep 和 arr 的单独误差并不能完全代表库存变化误差，尤其在两个通道同时偏高或偏低时，净流量误差可能与点预测误差表现不同。加入辅助损失后，模型不仅学习单独的租还需求，也被约束去拟合</w:t>
      </w:r>
      <w:r>
        <w:rPr>
          <w:rFonts w:ascii="Courier New" w:eastAsia="SimSun" w:hAnsi="Courier New"/>
          <w:sz w:val="22"/>
          <w:szCs w:val="22"/>
        </w:rPr>
        <w:t xml:space="preserve">arr - dep</w:t>
      </w:r>
      <w:r>
        <w:rPr>
          <w:rFonts w:ascii="Times New Roman" w:eastAsia="SimSun" w:hAnsi="Times New Roman"/>
          <w:sz w:val="24"/>
          <w:szCs w:val="24"/>
        </w:rPr>
        <w:t xml:space="preserve">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 time + net-loss 模型结构。</w:t>
      </w:r>
    </w:p>
    <w:p>
      <w:pPr>
        <w:spacing w:after="40" w:before="100" w:line="240"/>
        <w:jc w:val="center"/>
      </w:pPr>
      <w:r>
        <w:drawing>
          <wp:inline distT="0" distB="0" distL="0" distR="0">
            <wp:extent cx="4762500" cy="2600325"/>
            <wp:effectExtent t="0" r="0" b="0" l="0"/>
            <wp:docPr id="1" name="fig4_2_gwnet_time_netloss.png" descr="图4-2 Graph WaveNet time + net-loss 模型结构" title="图4-2 Graph WaveNet time + net-loss 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 time + net-loss 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为满足多源特征融合、未来已知输入、分位数预测和可解释性分析要求，本文实现本地 TFT-style quantile 模块</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。该模块不是官方 PyTorch Forecasting TFT 复现，而是在当前 dense station tensor 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 gated feature transform，得到站点小时级隐藏表示。第二，LSTM temporal encoder 编码过去 12 小时历史序列。第三，未来目标时间特征经过 decoder query 投影，为每个预测 horizon 构造查询向量。第四，多头时间注意力从未来 horizon 查询过去隐藏状态，得到面向未来步长的上下文表示。第五，站点 embedding 作为静态上下文，与时间上下文融合后输入 monotone quantile head，输出 dep 和 arr 的 q10、q50、q90。</w:t>
      </w:r>
    </w:p>
    <w:p>
      <w:pPr>
        <w:spacing w:after="120" w:before="0" w:line="360"/>
        <w:ind w:firstLine="480"/>
        <w:jc w:val="both"/>
      </w:pPr>
      <w:r>
        <w:rPr>
          <w:rFonts w:ascii="Times New Roman" w:eastAsia="SimSun" w:hAnsi="Times New Roman"/>
          <w:sz w:val="24"/>
          <w:szCs w:val="24"/>
        </w:rPr>
        <w:t xml:space="preserve">为了保证分位数单调性，模型的 quantile head 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10</m:t>
            </m:r>
          </m:sub>
        </m:sSub>
        <m:r>
          <m:rPr>
            <m:sty m:val="p"/>
          </m:rPr>
          <m:t>=</m:t>
        </m:r>
        <m:sSub>
          <m:e>
            <m:r>
              <m:rPr>
                <m:sty m:val="p"/>
              </m:rPr>
              <m:t>a</m:t>
            </m:r>
            <m:r>
              <m:rPr>
                <m:sty m:val="p"/>
              </m:rPr>
              <m:t>r</m:t>
            </m:r>
            <m:r>
              <m:rPr>
                <m:sty m:val="p"/>
              </m:rPr>
              <m:t>r</m:t>
            </m:r>
          </m:e>
          <m:sub>
            <m:r>
              <m:t>q</m:t>
            </m:r>
            <m:r>
              <m:t>10</m:t>
            </m:r>
          </m:sub>
        </m:sSub>
        <m:r>
          <m:rPr>
            <m:sty m:val="p"/>
          </m:rPr>
          <m:t>−</m:t>
        </m:r>
        <m:sSub>
          <m:e>
            <m:r>
              <m:rPr>
                <m:sty m:val="p"/>
              </m:rPr>
              <m:t>d</m:t>
            </m:r>
            <m:r>
              <m:rPr>
                <m:sty m:val="p"/>
              </m:rPr>
              <m:t>e</m:t>
            </m:r>
            <m:r>
              <m:rPr>
                <m:sty m:val="p"/>
              </m:rPr>
              <m:t>p</m:t>
            </m:r>
          </m:e>
          <m:sub>
            <m:r>
              <m:t>q</m:t>
            </m:r>
            <m:r>
              <m:t>90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(4-6)</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50</m:t>
            </m:r>
          </m:sub>
        </m:sSub>
        <m:r>
          <m:rPr>
            <m:sty m:val="p"/>
          </m:rPr>
          <m:t>=</m:t>
        </m:r>
        <m:sSub>
          <m:e>
            <m:r>
              <m:rPr>
                <m:sty m:val="p"/>
              </m:rPr>
              <m:t>a</m:t>
            </m:r>
            <m:r>
              <m:rPr>
                <m:sty m:val="p"/>
              </m:rPr>
              <m:t>r</m:t>
            </m:r>
            <m:r>
              <m:rPr>
                <m:sty m:val="p"/>
              </m:rPr>
              <m:t>r</m:t>
            </m:r>
          </m:e>
          <m:sub>
            <m:r>
              <m:t>q</m:t>
            </m:r>
            <m:r>
              <m:t>50</m:t>
            </m:r>
          </m:sub>
        </m:sSub>
        <m:r>
          <m:rPr>
            <m:sty m:val="p"/>
          </m:rPr>
          <m:t>−</m:t>
        </m:r>
        <m:sSub>
          <m:e>
            <m:r>
              <m:rPr>
                <m:sty m:val="p"/>
              </m:rPr>
              <m:t>d</m:t>
            </m:r>
            <m:r>
              <m:rPr>
                <m:sty m:val="p"/>
              </m:rPr>
              <m:t>e</m:t>
            </m:r>
            <m:r>
              <m:rPr>
                <m:sty m:val="p"/>
              </m:rPr>
              <m:t>p</m:t>
            </m:r>
          </m:e>
          <m:sub>
            <m:r>
              <m:t>q</m:t>
            </m:r>
            <m:r>
              <m:t>50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(4-7)</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90</m:t>
            </m:r>
          </m:sub>
        </m:sSub>
        <m:r>
          <m:rPr>
            <m:sty m:val="p"/>
          </m:rPr>
          <m:t>=</m:t>
        </m:r>
        <m:sSub>
          <m:e>
            <m:r>
              <m:rPr>
                <m:sty m:val="p"/>
              </m:rPr>
              <m:t>a</m:t>
            </m:r>
            <m:r>
              <m:rPr>
                <m:sty m:val="p"/>
              </m:rPr>
              <m:t>r</m:t>
            </m:r>
            <m:r>
              <m:rPr>
                <m:sty m:val="p"/>
              </m:rPr>
              <m:t>r</m:t>
            </m:r>
          </m:e>
          <m:sub>
            <m:r>
              <m:t>q</m:t>
            </m:r>
            <m:r>
              <m:t>90</m:t>
            </m:r>
          </m:sub>
        </m:sSub>
        <m:r>
          <m:rPr>
            <m:sty m:val="p"/>
          </m:rPr>
          <m:t>−</m:t>
        </m:r>
        <m:sSub>
          <m:e>
            <m:r>
              <m:rPr>
                <m:sty m:val="p"/>
              </m:rPr>
              <m:t>d</m:t>
            </m:r>
            <m:r>
              <m:rPr>
                <m:sty m:val="p"/>
              </m:rPr>
              <m:t>e</m:t>
            </m:r>
            <m:r>
              <m:rPr>
                <m:sty m:val="p"/>
              </m:rPr>
              <m:t>p</m:t>
            </m:r>
          </m:e>
          <m:sub>
            <m:r>
              <m:t>q</m:t>
            </m:r>
            <m:r>
              <m:t>10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(4-8)</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 median、conservative 和 aggressive 三种风险模式下读取 forecast file。</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可解释性导出</w:t>
      </w:r>
    </w:p>
    <w:p>
      <w:pPr>
        <w:spacing w:after="120" w:before="0" w:line="360"/>
        <w:ind w:firstLine="480"/>
        <w:jc w:val="both"/>
      </w:pPr>
      <w:r>
        <w:rPr>
          <w:rFonts w:ascii="Times New Roman" w:eastAsia="SimSun" w:hAnsi="Times New Roman"/>
          <w:sz w:val="24"/>
          <w:szCs w:val="24"/>
        </w:rPr>
        <w:t xml:space="preserve">TFT-style 模块导出两类解释性材料。第一类是注意力滞后分析，统计测试样本中未来 horizon 对过去 12 小时隐藏状态的平均注意力，得到 attention lag summary 和 horizon-lag matrix。第二类是特征敏感度分析，使用 gradient-times-input proxy 在归一化输入空间估计特征组 saliency。该方法不是官方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 saliency 中 history、time、poi、ride_type 和 static_station 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解释性结果需要谨慎使用。注意力权重可以反映模型在时间维度上更关注哪些历史滞后，但不能直接等同于因果影响；gradient-times-input saliency 可以反映输入扰动对输出的局部敏感度，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baseline 到 Graph WaveNet time + net-loss，再到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 inventory_hat，并设定容量 capacity_hat。对于站点 i，其安全库存带定义为：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l</m:t>
            </m:r>
            <m:r>
              <m:rPr>
                <m:sty m:val="p"/>
              </m:rPr>
              <m:t>o</m:t>
            </m:r>
            <m:r>
              <m:rPr>
                <m:sty m:val="p"/>
              </m:rPr>
              <m:t>w</m:t>
            </m:r>
            <m:r>
              <m:rPr>
                <m:sty m:val="p"/>
              </m:rPr>
              <m:t>e</m:t>
            </m:r>
            <m:r>
              <m:rPr>
                <m:sty m:val="p"/>
              </m:rPr>
              <m:t>r</m:t>
            </m:r>
          </m:e>
          <m:sub>
            <m:r>
              <m:t>i</m:t>
            </m:r>
          </m:sub>
        </m:sSub>
        <m:r>
          <m:rPr>
            <m:sty m:val="p"/>
          </m:rPr>
          <m:t>=</m:t>
        </m:r>
        <m:r>
          <m:t>0.2</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(5-1)</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u</m:t>
            </m:r>
            <m:r>
              <m:rPr>
                <m:sty m:val="p"/>
              </m:rPr>
              <m:t>p</m:t>
            </m:r>
            <m:r>
              <m:rPr>
                <m:sty m:val="p"/>
              </m:rPr>
              <m:t>p</m:t>
            </m:r>
            <m:r>
              <m:rPr>
                <m:sty m:val="p"/>
              </m:rPr>
              <m:t>e</m:t>
            </m:r>
            <m:r>
              <m:rPr>
                <m:sty m:val="p"/>
              </m:rPr>
              <m:t>r</m:t>
            </m:r>
          </m:e>
          <m:sub>
            <m:r>
              <m:t>i</m:t>
            </m:r>
          </m:sub>
        </m:sSub>
        <m:r>
          <m:rPr>
            <m:sty m:val="p"/>
          </m:rPr>
          <m:t>=</m:t>
        </m:r>
        <m:r>
          <m:t>0.8</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(5-2)</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 donor 到 receiver 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 transfer plan。任务表记录每个站点在当前决策中的角色、目标库存和请求变化量；transfer plan 记录每条搬运边的起点、终点、车辆数和距离。库存模拟器再将 transfer plan 与未来真实净流量结合，回放调度后库存路径，用于计算边界指标。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 rolling horizon 决策。每个决策时刻读取当前库存，并根据未来 12 小时净流量预测递推库存路径：</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acc>
              <m:accPr>
                <m:chr m:val="̂"/>
              </m:accPr>
              <m:e>
                <m:r>
                  <m:t>I</m:t>
                </m:r>
              </m:e>
            </m:acc>
          </m:e>
          <m:sub>
            <m:r>
              <m:t>t</m:t>
            </m:r>
            <m:r>
              <m:rPr>
                <m:sty m:val="p"/>
              </m:rPr>
              <m:t>+</m:t>
            </m:r>
            <m:r>
              <m:t>h</m:t>
            </m:r>
            <m:r>
              <m:rPr>
                <m:sty m:val="p"/>
              </m:rPr>
              <m:t>,</m:t>
            </m:r>
            <m:r>
              <m:t>i</m:t>
            </m:r>
          </m:sub>
        </m:sSub>
        <m:r>
          <m:rPr>
            <m:sty m:val="p"/>
          </m:rPr>
          <m:t>=</m:t>
        </m:r>
        <m:sSub>
          <m:e>
            <m:r>
              <m:t>I</m:t>
            </m:r>
          </m:e>
          <m:sub>
            <m:r>
              <m:t>t</m:t>
            </m:r>
            <m:r>
              <m:rPr>
                <m:sty m:val="p"/>
              </m:rPr>
              <m:t>,</m:t>
            </m:r>
            <m:r>
              <m:t>i</m:t>
            </m:r>
          </m:sub>
        </m:sSub>
        <m:r>
          <m:rPr>
            <m:sty m:val="p"/>
          </m:rPr>
          <m:t>+</m:t>
        </m:r>
        <m:nary>
          <m:naryPr>
            <m:chr m:val="∑"/>
            <m:limLoc m:val="undOvr"/>
            <m:subHide m:val="off"/>
            <m:supHide m:val="off"/>
          </m:naryPr>
          <m:sub>
            <m:r>
              <m:t>k</m:t>
            </m:r>
            <m:r>
              <m:rPr>
                <m:sty m:val="p"/>
              </m:rPr>
              <m:t>=</m:t>
            </m:r>
            <m:r>
              <m:t>1</m:t>
            </m:r>
          </m:sub>
          <m:sup>
            <m:r>
              <m:t>h</m:t>
            </m:r>
          </m:sup>
          <m:e>
            <m:sSub>
              <m:e>
                <m:acc>
                  <m:accPr>
                    <m:chr m:val="̂"/>
                  </m:accPr>
                  <m:e>
                    <m:r>
                      <m:rPr>
                        <m:sty m:val="p"/>
                      </m:rPr>
                      <m:t>n</m:t>
                    </m:r>
                    <m:r>
                      <m:rPr>
                        <m:sty m:val="p"/>
                      </m:rPr>
                      <m:t>e</m:t>
                    </m:r>
                    <m:r>
                      <m:rPr>
                        <m:sty m:val="p"/>
                      </m:rPr>
                      <m:t>t</m:t>
                    </m:r>
                    <m:r>
                      <m:rPr>
                        <m:sty m:val="p"/>
                      </m:rPr>
                      <m:t>_</m:t>
                    </m:r>
                    <m:r>
                      <m:rPr>
                        <m:sty m:val="p"/>
                      </m:rPr>
                      <m:t>f</m:t>
                    </m:r>
                    <m:r>
                      <m:rPr>
                        <m:sty m:val="p"/>
                      </m:rPr>
                      <m:t>l</m:t>
                    </m:r>
                    <m:r>
                      <m:rPr>
                        <m:sty m:val="p"/>
                      </m:rPr>
                      <m:t>o</m:t>
                    </m:r>
                    <m:r>
                      <m:rPr>
                        <m:sty m:val="p"/>
                      </m:rPr>
                      <m:t>w</m:t>
                    </m:r>
                  </m:e>
                </m:acc>
              </m:e>
              <m:sub>
                <m:r>
                  <m:t>t</m:t>
                </m:r>
                <m:r>
                  <m:rPr>
                    <m:sty m:val="p"/>
                  </m:rPr>
                  <m:t>+</m:t>
                </m:r>
                <m:r>
                  <m:t>k</m:t>
                </m:r>
                <m:r>
                  <m:rPr>
                    <m:sty m:val="p"/>
                  </m:rPr>
                  <m:t>,</m:t>
                </m:r>
                <m:r>
                  <m:t>i</m:t>
                </m:r>
              </m:sub>
            </m:sSub>
          </m:e>
        </m:nary>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(5-3)</w:t>
      </w:r>
    </w:p>
    <w:p>
      <w:pPr>
        <w:spacing w:after="120" w:before="0" w:line="360"/>
        <w:ind w:firstLine="480"/>
        <w:jc w:val="both"/>
      </w:pPr>
      <w:r>
        <w:rPr>
          <w:rFonts w:ascii="Times New Roman" w:eastAsia="SimSun" w:hAnsi="Times New Roman"/>
          <w:sz w:val="24"/>
          <w:szCs w:val="24"/>
        </w:rPr>
        <w:t xml:space="preserve">其中 h=1,...,12。根据预测库存路径，算法计算每个站点需要增加或减少的车辆数。若未来库存低于下界，则产生正向补车需求；若高于上界，则产生负向移车需求。该需求并不是最终调度结果，而是 donor/receiver 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oracle 更接近现实运营能力，也使不同算法结果可比。</w:t>
      </w:r>
    </w:p>
    <w:p>
      <w:pPr>
        <w:spacing w:after="120" w:before="0" w:line="360"/>
        <w:ind w:firstLine="480"/>
        <w:jc w:val="both"/>
      </w:pPr>
      <w:r>
        <w:rPr>
          <w:rFonts w:ascii="Times New Roman" w:eastAsia="SimSun" w:hAnsi="Times New Roman"/>
          <w:sz w:val="24"/>
          <w:szCs w:val="24"/>
        </w:rPr>
        <w:t xml:space="preserve">rolling horizon 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 dep/arr 或 net_flow。这一点保证了 forecast-driven 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 donor 和 receiver 后，按距离优先匹配车辆。对于每个 receiver，算法优先选择距离最近且仍有供给的 donor，直到 receiver 需求满足或 donor 供给耗尽。该方法简单、可解释、运行速度快，但只做局部最优决策，无法保证全局 bike-km 最小。</w:t>
      </w:r>
    </w:p>
    <w:p>
      <w:pPr>
        <w:spacing w:after="120" w:before="0" w:line="360"/>
        <w:ind w:firstLine="480"/>
        <w:jc w:val="both"/>
      </w:pPr>
      <w:r>
        <w:rPr>
          <w:rFonts w:ascii="Times New Roman" w:eastAsia="SimSun" w:hAnsi="Times New Roman"/>
          <w:sz w:val="24"/>
          <w:szCs w:val="24"/>
        </w:rPr>
        <w:t xml:space="preserve">贪心算法适合作为 baseline，用于观察库存规划逻辑是否有效。本文的 oracle greedy cap200 在测试集上将 no-rebalancing 的 below+above 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 donor 若被先分配给某个 receiver，可能导致另一个需求更大的 receiver 只能匹配更远的 donor，从而增加总里程。对于小规模站点或供需分布简单的场景，贪心策略通常足够有效；但在本文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 donor/receiver 匹配建模为最小费用流。构造有向网络：</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s</m:t>
        </m:r>
        <m:r>
          <m:rPr>
            <m:sty m:val="p"/>
          </m:rPr>
          <m:t>o</m:t>
        </m:r>
        <m:r>
          <m:rPr>
            <m:sty m:val="p"/>
          </m:rPr>
          <m:t>u</m:t>
        </m:r>
        <m:r>
          <m:rPr>
            <m:sty m:val="p"/>
          </m:rPr>
          <m:t>r</m:t>
        </m:r>
        <m:r>
          <m:rPr>
            <m:sty m:val="p"/>
          </m:rPr>
          <m:t>c</m:t>
        </m:r>
        <m:r>
          <m:rPr>
            <m:sty m:val="p"/>
          </m:rPr>
          <m:t>e</m:t>
        </m:r>
        <m:r>
          <m:rPr>
            <m:sty m:val="p"/>
          </m:rPr>
          <m:t>→</m:t>
        </m:r>
        <m:r>
          <m:rPr>
            <m:sty m:val="p"/>
          </m:rPr>
          <m:t>d</m:t>
        </m:r>
        <m:r>
          <m:rPr>
            <m:sty m:val="p"/>
          </m:rPr>
          <m:t>o</m:t>
        </m:r>
        <m:r>
          <m:rPr>
            <m:sty m:val="p"/>
          </m:rPr>
          <m:t>n</m:t>
        </m:r>
        <m:r>
          <m:rPr>
            <m:sty m:val="p"/>
          </m:rPr>
          <m:t>o</m:t>
        </m:r>
        <m:r>
          <m:rPr>
            <m:sty m:val="p"/>
          </m:rPr>
          <m:t>r</m:t>
        </m:r>
        <m:r>
          <m:rPr>
            <m:sty m:val="p"/>
          </m:rPr>
          <m:t>→</m:t>
        </m:r>
        <m:r>
          <m:rPr>
            <m:sty m:val="p"/>
          </m:rPr>
          <m:t>r</m:t>
        </m:r>
        <m:r>
          <m:rPr>
            <m:sty m:val="p"/>
          </m:rPr>
          <m:t>e</m:t>
        </m:r>
        <m:r>
          <m:rPr>
            <m:sty m:val="p"/>
          </m:rPr>
          <m:t>c</m:t>
        </m:r>
        <m:r>
          <m:rPr>
            <m:sty m:val="p"/>
          </m:rPr>
          <m:t>e</m:t>
        </m:r>
        <m:r>
          <m:rPr>
            <m:sty m:val="p"/>
          </m:rPr>
          <m:t>i</m:t>
        </m:r>
        <m:r>
          <m:rPr>
            <m:sty m:val="p"/>
          </m:rPr>
          <m:t>v</m:t>
        </m:r>
        <m:r>
          <m:rPr>
            <m:sty m:val="p"/>
          </m:rPr>
          <m:t>e</m:t>
        </m:r>
        <m:r>
          <m:rPr>
            <m:sty m:val="p"/>
          </m:rPr>
          <m:t>r</m:t>
        </m:r>
        <m:r>
          <m:rPr>
            <m:sty m:val="p"/>
          </m:rPr>
          <m:t>→</m:t>
        </m:r>
        <m:r>
          <m:rPr>
            <m:sty m:val="p"/>
          </m:rPr>
          <m:t>s</m:t>
        </m:r>
        <m:r>
          <m:rPr>
            <m:sty m:val="p"/>
          </m:rPr>
          <m:t>i</m:t>
        </m:r>
        <m:r>
          <m:rPr>
            <m:sty m:val="p"/>
          </m:rPr>
          <m:t>n</m:t>
        </m:r>
        <m:r>
          <m:rPr>
            <m:sty m:val="p"/>
          </m:rPr>
          <m:t>k</m:t>
        </m:r>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(5-4)</w:t>
      </w:r>
    </w:p>
    <w:p>
      <w:pPr>
        <w:spacing w:after="120" w:before="0" w:line="360"/>
        <w:ind w:firstLine="480"/>
        <w:jc w:val="both"/>
      </w:pPr>
      <w:r>
        <w:rPr>
          <w:rFonts w:ascii="Times New Roman" w:eastAsia="SimSun" w:hAnsi="Times New Roman"/>
          <w:sz w:val="24"/>
          <w:szCs w:val="24"/>
        </w:rPr>
        <w:t xml:space="preserve">每个 donor 的供给量为需要移出的车辆数，每个 receiver 的需求量为需要补入的车辆数，donor 到 receiver 的边费用为两站点间 haversine 距离。算法目标是在供需和每小时搬运上限约束下最小化总费用：</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min</m:t>
        </m:r>
        <m:nary>
          <m:naryPr>
            <m:chr m:val="∑"/>
            <m:limLoc m:val="undOvr"/>
            <m:subHide m:val="off"/>
            <m:supHide m:val="on"/>
          </m:naryPr>
          <m:sub>
            <m:r>
              <m:t>i</m:t>
            </m:r>
            <m:r>
              <m:rPr>
                <m:sty m:val="p"/>
              </m:rPr>
              <m:t>∈</m:t>
            </m:r>
            <m:r>
              <m:t>D</m:t>
            </m:r>
          </m:sub>
          <m:sup>
            <m:r>
              <m:t>​</m:t>
            </m:r>
          </m:sup>
          <m:e>
            <m:nary>
              <m:naryPr>
                <m:chr m:val="∑"/>
                <m:limLoc m:val="undOvr"/>
                <m:subHide m:val="off"/>
                <m:supHide m:val="on"/>
              </m:naryPr>
              <m:sub>
                <m:r>
                  <m:t>j</m:t>
                </m:r>
                <m:r>
                  <m:rPr>
                    <m:sty m:val="p"/>
                  </m:rPr>
                  <m:t>∈</m:t>
                </m:r>
                <m:r>
                  <m:t>R</m:t>
                </m:r>
              </m:sub>
              <m:sup>
                <m:r>
                  <m:t>​</m:t>
                </m:r>
              </m:sup>
              <m:e>
                <m:sSub>
                  <m:e>
                    <m:r>
                      <m:t>c</m:t>
                    </m:r>
                  </m:e>
                  <m:sub>
                    <m:r>
                      <m:t>i</m:t>
                    </m:r>
                    <m:r>
                      <m:t>j</m:t>
                    </m:r>
                  </m:sub>
                </m:sSub>
              </m:e>
            </m:nary>
          </m:e>
        </m:nary>
        <m:sSub>
          <m:e>
            <m:r>
              <m:t>x</m:t>
            </m:r>
          </m:e>
          <m:sub>
            <m:r>
              <m:t>i</m:t>
            </m:r>
            <m:r>
              <m:t>j</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(5-5)</w:t>
      </w:r>
    </w:p>
    <w:p>
      <w:pPr>
        <w:spacing w:after="120" w:before="0" w:line="360"/>
        <w:ind w:firstLine="480"/>
        <w:jc w:val="both"/>
      </w:pPr>
      <w:r>
        <w:rPr>
          <w:rFonts w:ascii="Times New Roman" w:eastAsia="SimSun" w:hAnsi="Times New Roman"/>
          <w:sz w:val="24"/>
          <w:szCs w:val="24"/>
        </w:rPr>
        <w:t xml:space="preserve">其中 $x_{ij}$ 表示从 donor i 搬到 receiver j 的车辆数，$c_{ij}$ 表示距离成本。本文实现 successive shortest path with residual potentials 求解最小费用流。相比 greedy，min-cost flow 能从全局角度分配 donor 和 receiver，在相同搬运车辆数下通常具有更低 bike-km。</w:t>
      </w:r>
    </w:p>
    <w:p>
      <w:pPr>
        <w:spacing w:after="120" w:before="0" w:line="360"/>
        <w:ind w:firstLine="480"/>
        <w:jc w:val="both"/>
      </w:pPr>
      <w:r>
        <w:rPr>
          <w:rFonts w:ascii="Times New Roman" w:eastAsia="SimSun" w:hAnsi="Times New Roman"/>
          <w:sz w:val="24"/>
          <w:szCs w:val="24"/>
        </w:rPr>
        <w:t xml:space="preserve">最小费用流版本只替换 donor/receiver 匹配器，不改变前面的库存规划逻辑。这样设计有利于公平比较：greedy 和 min-cost flow 面对同一批 donor、receiver 和搬运上限，差异只来自匹配策略。实验中，oracle min-cost cap200 在总搬运车辆数相同的情况下，比 greedy cap200 减少约 880.6 bike-km，同时略微降低低库存小时，说明全局优化确实改善了匹配质量。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w:t>
      </w:r>
      <w:r>
        <w:rPr>
          <w:rFonts w:ascii="Times New Roman" w:eastAsia="Times New Roman" w:hAnsi="Times New Roman"/>
          <w:sz w:val="22"/>
          <w:szCs w:val="22"/>
          <w:vertAlign w:val="superscript"/>
        </w:rPr>
        <w:t xml:space="preserve">[29]</w:t>
      </w:r>
      <w:r>
        <w:rPr>
          <w:rFonts w:ascii="Times New Roman" w:eastAsia="SimSun" w:hAnsi="Times New Roman"/>
          <w:sz w:val="24"/>
          <w:szCs w:val="24"/>
        </w:rPr>
        <w:t xml:space="preserve">，主要出于两点考虑。第一，本文的重点是预测结果如何转化为站点供需任务，而不是货车路径细节；第二，CVRP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净流量预测，因此调度算法支持三种风险模式。median 模式使用 q50，即中位预测；conservative 模式使用 q10，更偏向低净流量估计；aggressive 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并不是“更安全”的简单替代。净流量为</w:t>
      </w:r>
      <w:r>
        <w:rPr>
          <w:rFonts w:ascii="Courier New" w:eastAsia="SimSun" w:hAnsi="Courier New"/>
          <w:sz w:val="22"/>
          <w:szCs w:val="22"/>
        </w:rPr>
        <w:t xml:space="preserve">arr - dep</w:t>
      </w:r>
      <w:r>
        <w:rPr>
          <w:rFonts w:ascii="Times New Roman" w:eastAsia="SimSun" w:hAnsi="Times New Roman"/>
          <w:sz w:val="24"/>
          <w:szCs w:val="24"/>
        </w:rPr>
        <w:t xml:space="preserve">，q10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 empty、full、below lower band 和 above upper band。empty 表示库存等于或低于空站阈值的站点小时，full 表示库存达到容量上限附近的站点小时；below lower band 和 above upper band 则使用安全库存带判断更宽泛的风险状态。二者相比，empty/full 更接近用户直接感知，below/above 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 total matched bikes、transfer actions 和 total bike-km。matched bikes 表示总搬运车辆数，actions 表示站点间搬运边数量，bike-km 表示车辆数乘以搬运距离的总和。一个算法可能通过增加搬运车辆降低缺车风险，也可能通过更短距离匹配降低 bike-km。因此，本文不使用单一指标判断算法优劣，而是结合库存边界改善和搬运成本进行分析。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 donor 和 receiver，最后使用 greedy 或 min-cost flow 生成站点间搬运任务。与完整车辆路径规划相比，本文方案更聚焦于预测结果到站点供需任务的转化，适合在离线历史数据上进行可复现评估。实验章节将进一步比较 oracle、Graph WaveNet forecast 和 TFT-style quantile forecast 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本文实现的系统是一个离线历史回测原型，用于展示共享单车预测与调度链路。系统不接入实时车辆、实时订单或在线天气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FastAPI，负责读取站点小时面板、预测缓存、模型输出和调度结果，并根据用户选择的时间、模型、算法和搬运上限返回结构化 JSON</w:t>
      </w:r>
      <w:r>
        <w:rPr>
          <w:rFonts w:ascii="Times New Roman" w:eastAsia="Times New Roman" w:hAnsi="Times New Roman"/>
          <w:sz w:val="22"/>
          <w:szCs w:val="22"/>
          <w:vertAlign w:val="superscript"/>
        </w:rPr>
        <w:t xml:space="preserve">[30]</w:t>
      </w:r>
      <w:r>
        <w:rPr>
          <w:rFonts w:ascii="Times New Roman" w:eastAsia="SimSun" w:hAnsi="Times New Roman"/>
          <w:sz w:val="24"/>
          <w:szCs w:val="24"/>
        </w:rPr>
        <w:t xml:space="preserve">。前端使用 React 和 TypeScript 构建</w:t>
      </w:r>
      <w:r>
        <w:rPr>
          <w:rFonts w:ascii="Times New Roman" w:eastAsia="Times New Roman" w:hAnsi="Times New Roman"/>
          <w:sz w:val="22"/>
          <w:szCs w:val="22"/>
          <w:vertAlign w:val="superscript"/>
        </w:rPr>
        <w:t xml:space="preserve">[31]</w:t>
      </w:r>
      <w:r>
        <w:rPr>
          <w:rFonts w:ascii="Times New Roman" w:eastAsia="SimSun" w:hAnsi="Times New Roman"/>
          <w:sz w:val="24"/>
          <w:szCs w:val="24"/>
        </w:rPr>
        <w:t xml:space="preserve">，地图展示使用 MapLibre GL JS</w:t>
      </w:r>
      <w:r>
        <w:rPr>
          <w:rFonts w:ascii="Times New Roman" w:eastAsia="Times New Roman" w:hAnsi="Times New Roman"/>
          <w:sz w:val="22"/>
          <w:szCs w:val="22"/>
          <w:vertAlign w:val="superscript"/>
        </w:rPr>
        <w:t xml:space="preserve">[32]</w:t>
      </w:r>
      <w:r>
        <w:rPr>
          <w:rFonts w:ascii="Times New Roman" w:eastAsia="SimSun" w:hAnsi="Times New Roman"/>
          <w:sz w:val="24"/>
          <w:szCs w:val="24"/>
        </w:rPr>
        <w:t xml:space="preserve">，曲线图使用 ECharts</w:t>
      </w:r>
      <w:r>
        <w:rPr>
          <w:rFonts w:ascii="Times New Roman" w:eastAsia="Times New Roman" w:hAnsi="Times New Roman"/>
          <w:sz w:val="22"/>
          <w:szCs w:val="22"/>
          <w:vertAlign w:val="superscript"/>
        </w:rPr>
        <w:t xml:space="preserve">[33]</w:t>
      </w:r>
      <w:r>
        <w:rPr>
          <w:rFonts w:ascii="Times New Roman" w:eastAsia="SimSun" w:hAnsi="Times New Roman"/>
          <w:sz w:val="24"/>
          <w:szCs w:val="24"/>
        </w:rPr>
        <w:t xml:space="preserve">。用户可以在测试集时间范围内选择任意决策时刻，查看站点状态、预测曲线、调度路线和库存回放结果。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平台的核心交互是“选择一个历史决策时刻，观察模型如何预测，调度算法如何决策，真实历史如何验证”。用户选择时间后，后端首先读取该时刻的当前库存和未来真实流量；随后根据模型选择读取 TFT-style forecast cache、Graph WaveNet forecast 或 oracle 流量；再根据算法选择运行 greedy 或 min-cost flow；最后将站点角色、调度路线、未来库存路径和指标汇总返回前端。该流程保证前端展示的每一条路线和每一个指标都可以追溯到后端计算。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后端主要由四类服务组成。</w:t>
      </w:r>
    </w:p>
    <w:p>
      <w:pPr>
        <w:spacing w:after="120" w:before="0" w:line="360"/>
        <w:ind w:firstLine="480"/>
        <w:jc w:val="both"/>
      </w:pPr>
      <w:r>
        <w:rPr>
          <w:rFonts w:ascii="Times New Roman" w:eastAsia="SimSun" w:hAnsi="Times New Roman"/>
          <w:sz w:val="24"/>
          <w:szCs w:val="24"/>
        </w:rPr>
        <w:t xml:space="preserve">DataRepository 负责读取历史数据，包括站点小时面板、站点静态特征和 AGCRN bundle。它根据 decision_ts 定位过去窗口和未来真实流量，为预测服务和调度服务提供统一数据访问接口。</w:t>
      </w:r>
    </w:p>
    <w:p>
      <w:pPr>
        <w:spacing w:after="120" w:before="0" w:line="360"/>
        <w:ind w:firstLine="480"/>
        <w:jc w:val="both"/>
      </w:pPr>
      <w:r>
        <w:rPr>
          <w:rFonts w:ascii="Times New Roman" w:eastAsia="SimSun" w:hAnsi="Times New Roman"/>
          <w:sz w:val="24"/>
          <w:szCs w:val="24"/>
        </w:rPr>
        <w:t xml:space="preserve">ForecastService 负责读取预测结果或执行模型推理。当前平台默认使用 TFT-style quantile v1 的正式 test split forecast cache，也保留 Graph WaveNet time+net-loss v1、Graph WaveNet v1 和 oracle 作为对照。对于 TFT-style 模型，后端返回 q10、q50、q90 净流量字段，支持前端展示预测区间。</w:t>
      </w:r>
    </w:p>
    <w:p>
      <w:pPr>
        <w:spacing w:after="120" w:before="0" w:line="360"/>
        <w:ind w:firstLine="480"/>
        <w:jc w:val="both"/>
      </w:pPr>
      <w:r>
        <w:rPr>
          <w:rFonts w:ascii="Times New Roman" w:eastAsia="SimSun" w:hAnsi="Times New Roman"/>
          <w:sz w:val="24"/>
          <w:szCs w:val="24"/>
        </w:rPr>
        <w:t xml:space="preserve">RebalancingService 负责调用 greedy 或 min-cost 调度逻辑，根据预测净流量和当前库存生成 donor、receiver、transfer plan 和 inventory simulation。它还计算当前决策时刻的关键指标，例如搬运车辆数、动作数、bike-km、下一小时库存边界状态和 12 小时滚动边界改善。</w:t>
      </w:r>
    </w:p>
    <w:p>
      <w:pPr>
        <w:spacing w:after="120" w:before="0" w:line="360"/>
        <w:ind w:firstLine="480"/>
        <w:jc w:val="both"/>
      </w:pPr>
      <w:r>
        <w:rPr>
          <w:rFonts w:ascii="Times New Roman" w:eastAsia="SimSun" w:hAnsi="Times New Roman"/>
          <w:sz w:val="24"/>
          <w:szCs w:val="24"/>
        </w:rPr>
        <w:t xml:space="preserve">CacheService 用于缓存已计算的决策结果，避免用户在前端反复切换同一时间点时重复读取大文件和执行调度逻辑。由于数据是固定离线历史数据，缓存不会引入实时一致性问题。</w:t>
      </w:r>
    </w:p>
    <w:p>
      <w:pPr>
        <w:spacing w:after="120" w:before="0" w:line="360"/>
        <w:ind w:firstLine="480"/>
        <w:jc w:val="both"/>
      </w:pPr>
      <w:r>
        <w:rPr>
          <w:rFonts w:ascii="Times New Roman" w:eastAsia="SimSun" w:hAnsi="Times New Roman"/>
          <w:sz w:val="24"/>
          <w:szCs w:val="24"/>
        </w:rPr>
        <w:t xml:space="preserve">后端接口围绕论文展示场景设计。</w:t>
      </w:r>
      <w:r>
        <w:rPr>
          <w:rFonts w:ascii="Courier New" w:eastAsia="SimSun" w:hAnsi="Courier New"/>
          <w:sz w:val="22"/>
          <w:szCs w:val="22"/>
        </w:rPr>
        <w:t xml:space="preserve">/api/meta</w:t>
      </w:r>
      <w:r>
        <w:rPr>
          <w:rFonts w:ascii="Times New Roman" w:eastAsia="SimSun" w:hAnsi="Times New Roman"/>
          <w:sz w:val="24"/>
          <w:szCs w:val="24"/>
        </w:rPr>
        <w:t xml:space="preserve">返回可用时间范围、模型列表和算法列表；</w:t>
      </w:r>
      <w:r>
        <w:rPr>
          <w:rFonts w:ascii="Courier New" w:eastAsia="SimSun" w:hAnsi="Courier New"/>
          <w:sz w:val="22"/>
          <w:szCs w:val="22"/>
        </w:rPr>
        <w:t xml:space="preserve">/api/runs/summary</w:t>
      </w:r>
      <w:r>
        <w:rPr>
          <w:rFonts w:ascii="Times New Roman" w:eastAsia="SimSun" w:hAnsi="Times New Roman"/>
          <w:sz w:val="24"/>
          <w:szCs w:val="24"/>
        </w:rPr>
        <w:t xml:space="preserve">返回已完成正式 run 的全局结果，便于前端展示历史对比；</w:t>
      </w:r>
      <w:r>
        <w:rPr>
          <w:rFonts w:ascii="Courier New" w:eastAsia="SimSun" w:hAnsi="Courier New"/>
          <w:sz w:val="22"/>
          <w:szCs w:val="22"/>
        </w:rPr>
        <w:t xml:space="preserve">/api/decision</w:t>
      </w:r>
      <w:r>
        <w:rPr>
          <w:rFonts w:ascii="Times New Roman" w:eastAsia="SimSun" w:hAnsi="Times New Roman"/>
          <w:sz w:val="24"/>
          <w:szCs w:val="24"/>
        </w:rPr>
        <w:t xml:space="preserve">根据给定时间、模型、算法和 cap 返回当前决策的地图层、曲线数据和指标卡；</w:t>
      </w:r>
      <w:r>
        <w:rPr>
          <w:rFonts w:ascii="Courier New" w:eastAsia="SimSun" w:hAnsi="Courier New"/>
          <w:sz w:val="22"/>
          <w:szCs w:val="22"/>
        </w:rPr>
        <w:t xml:space="preserve">/api/station/{node_idx}</w:t>
      </w:r>
      <w:r>
        <w:rPr>
          <w:rFonts w:ascii="Times New Roman" w:eastAsia="SimSun" w:hAnsi="Times New Roman"/>
          <w:sz w:val="24"/>
          <w:szCs w:val="24"/>
        </w:rPr>
        <w:t xml:space="preserve">返回单站详细库存路径和预测区间。这样的接口划分使前端不需要理解 parquet 文件结构或模型细节，只负责渲染后端返回的数据。</w:t>
      </w:r>
    </w:p>
    <w:p>
      <w:pPr>
        <w:spacing w:after="120" w:before="0" w:line="360"/>
        <w:ind w:firstLine="480"/>
        <w:jc w:val="both"/>
      </w:pPr>
      <w:r>
        <w:rPr>
          <w:rFonts w:ascii="Times New Roman" w:eastAsia="SimSun" w:hAnsi="Times New Roman"/>
          <w:sz w:val="24"/>
          <w:szCs w:val="24"/>
        </w:rPr>
        <w:t xml:space="preserve">为了保证响应速度，平台默认读取已经导出的 forecast parquet，而不是每次都从 checkpoint 现场推理。对于测试集内的正式实验，这种缓存方式与论文指标一致，也能保证演示稳定。后端仍保留现场推理能力，用于对比或调试，但展示主线优先使用离线 forecast artifact。</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前端界面围绕论文答辩和实验分析场景设计。主要功能包括：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quantile q50、Graph WaveNet time+net-loss、Graph WaveNet v1 或 oracle 预测源，并选择 greedy 或 min-cost flow 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第三，站点地图展示。地图上显示每个站点的位置、库存风险状态、donor/receiver 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 no-rebalancing 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 CSV，便于答辩时说明某个时间点的调度任务。</w:t>
      </w:r>
    </w:p>
    <w:p>
      <w:pPr>
        <w:spacing w:after="120" w:before="0" w:line="360"/>
        <w:ind w:firstLine="480"/>
        <w:jc w:val="both"/>
      </w:pPr>
      <w:r>
        <w:rPr>
          <w:rFonts w:ascii="Times New Roman" w:eastAsia="SimSun" w:hAnsi="Times New Roman"/>
          <w:sz w:val="24"/>
          <w:szCs w:val="24"/>
        </w:rPr>
        <w:t xml:space="preserve">图6-2展示了平台地图与调度路径展示效果。</w:t>
      </w:r>
    </w:p>
    <w:p>
      <w:pPr>
        <w:spacing w:after="40" w:before="100" w:line="240"/>
        <w:jc w:val="center"/>
      </w:pPr>
      <w:r>
        <w:drawing>
          <wp:inline distT="0" distB="0" distL="0" distR="0">
            <wp:extent cx="4762500" cy="2600325"/>
            <wp:effectExtent t="0" r="0" b="0" l="0"/>
            <wp:docPr id="1" name="fig6_2_dashboard_map.png" descr="图6-2 平台地图与调度路径展示" title="图6-2 平台地图与调度路径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平台地图与调度路径展示</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本文系统实现有三个特点。第一，实验结果和平台展示共享同一批数据文件，避免“论文表格一套、演示系统一套”的不一致问题。平台读取的 forecast parquet 和 run summary 都来自正式实验目录，前端看到的指标可以回溯到模型训练和调度回测结果。</w:t>
      </w:r>
    </w:p>
    <w:p>
      <w:pPr>
        <w:spacing w:after="120" w:before="0" w:line="360"/>
        <w:ind w:firstLine="480"/>
        <w:jc w:val="both"/>
      </w:pPr>
      <w:r>
        <w:rPr>
          <w:rFonts w:ascii="Times New Roman" w:eastAsia="SimSun" w:hAnsi="Times New Roman"/>
          <w:sz w:val="24"/>
          <w:szCs w:val="24"/>
        </w:rPr>
        <w:t xml:space="preserve">第二，系统保留了模型与算法的可切换性。用户可以在同一时间点下比较 TFT-style q50、Graph WaveNet、Graph WaveNet time+net-loss 和 oracle 的调度差异，也可以比较 greedy 与 min-cost flow 的路线差异。这种横向切换有助于展示本文的关键结论：预测误差指标、调度成本和库存边界改善之间并非简单单调关系。</w:t>
      </w:r>
    </w:p>
    <w:p>
      <w:pPr>
        <w:spacing w:after="120" w:before="0" w:line="360"/>
        <w:ind w:firstLine="480"/>
        <w:jc w:val="both"/>
      </w:pPr>
      <w:r>
        <w:rPr>
          <w:rFonts w:ascii="Times New Roman" w:eastAsia="SimSun" w:hAnsi="Times New Roman"/>
          <w:sz w:val="24"/>
          <w:szCs w:val="24"/>
        </w:rPr>
        <w:t xml:space="preserve">第三，系统强调站点级解释。除了全局指标外，平台可以查看单个站点的库存路径、预测区间和真实回放结果。共享单车调度问题常常表现为局部站点风险，单站详情能够帮助解释为什么某个站点被判定为 donor 或 receiver，以及调度后是否仍然存在边界风险。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不仅服务于答辩展示，也用于模型诊断和实验分析。由于系统基于固定历史数据运行，本文能够保证展示结果与论文实验结果一致，为后续 Word 论文中的图表和案例分析提供支撑。</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 NYC top883 站点，输入过去 12 小时，预测未来 12 小时 dep_count 和 arr_count。指标在反归一化、反 log1p 后的原始订单计数尺度上计算。主指标为 dep 和 arr 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 empty、full、below lower band、above upper band、below+above、总搬运车辆数、transfer actions 和总 bike-km。</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2"/>
        <w:gridCol w:w="1522"/>
        <w:gridCol w:w="1522"/>
        <w:gridCol w:w="634"/>
        <w:gridCol w:w="520"/>
        <w:gridCol w:w="520"/>
        <w:gridCol w:w="520"/>
        <w:gridCol w:w="520"/>
        <w:gridCol w:w="520"/>
        <w:gridCol w:w="1270"/>
      </w:tblGrid>
      <w:tr>
        <w:trPr>
          <w:tblHeader/>
        </w:trPr>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模型或实验版本</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5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6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Best epoch</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Dep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Arr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RMSE</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Avg MAPE</w:t>
            </w:r>
          </w:p>
        </w:tc>
        <w:tc>
          <w:tcPr>
            <w:tcW w:type="dxa" w:w="127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baseline</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adaptive graph, raw target</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早期主 baseline</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 top-k20 OD + log1p</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weak OD,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目标变换显著改善</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dilated TCN + graph conv + log1p</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 38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target-time readout + net-flow aux loss</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最强图网络版本</w:t>
            </w:r>
          </w:p>
        </w:tc>
      </w:tr>
      <w:tr>
        <w:trPr>
          <w:cantSplit/>
        </w:trPr>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 + net-loss + POI</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消融</w:t>
            </w:r>
          </w:p>
        </w:tc>
        <w:tc>
          <w:tcPr>
            <w:tcW w:type="dxa" w:w="6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27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 dep/arr 点预测</w:t>
            </w:r>
          </w:p>
        </w:tc>
      </w:tr>
      <w:tr>
        <w:trPr>
          <w:cantSplit/>
        </w:trPr>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quantile v1</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top883_poi_v1, 88 features</w:t>
            </w:r>
          </w:p>
        </w:tc>
        <w:tc>
          <w:tcPr>
            <w:tcW w:type="dxa" w:w="15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 Pinball Loss</w:t>
            </w:r>
          </w:p>
        </w:tc>
        <w:tc>
          <w:tcPr>
            <w:tcW w:type="dxa" w:w="6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27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 点预测最好，PICP80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从结果可以看出，模型性能提升主要来自两个阶段。第一阶段是目标变换，log1p 将 AGCRN top-k20 OD 的平均 MAE 从 raw 目标下的 2.1951 降至 2.1073，说明对长尾计数需求进行压缩有利于训练。第二阶段是结构升级，Graph WaveNet v1 将平均 MAE 降至 1.7666，说明扩张时序卷积比 AGCRN 的循环结构更适合当前任务。</w:t>
      </w:r>
    </w:p>
    <w:p>
      <w:pPr>
        <w:spacing w:after="120" w:before="0" w:line="360"/>
        <w:ind w:firstLine="480"/>
        <w:jc w:val="both"/>
      </w:pPr>
      <w:r>
        <w:rPr>
          <w:rFonts w:ascii="Times New Roman" w:eastAsia="SimSun" w:hAnsi="Times New Roman"/>
          <w:sz w:val="24"/>
          <w:szCs w:val="24"/>
        </w:rPr>
        <w:t xml:space="preserve">Graph WaveNet time + net-loss 进一步将平均 MAE 降至 1.6238，并记录净流量 MAE 1.5658。该结果说明加入未来目标时间特征和净流量辅助损失能够改善 dep/arr 点预测，也能更直接优化调度所需的净流量。</w:t>
      </w:r>
    </w:p>
    <w:p>
      <w:pPr>
        <w:spacing w:after="120" w:before="0" w:line="360"/>
        <w:ind w:firstLine="480"/>
        <w:jc w:val="both"/>
      </w:pPr>
      <w:r>
        <w:rPr>
          <w:rFonts w:ascii="Times New Roman" w:eastAsia="SimSun" w:hAnsi="Times New Roman"/>
          <w:sz w:val="24"/>
          <w:szCs w:val="24"/>
        </w:rPr>
        <w:t xml:space="preserve">TFT-style quantile v1 的 q50 平均 MAE 为 1.5899，是当前点预测指标最好的模型。它同时提供 q10-q90 区间，PICP80 达到 0.8107，接近目标 80% 覆盖率。该结果说明本地 TFT-style 模块能够在多源 POI 数据上实现有效的点预测和不确定性表达。</w:t>
      </w:r>
    </w:p>
    <w:p>
      <w:pPr>
        <w:spacing w:after="120" w:before="0" w:line="360"/>
        <w:ind w:firstLine="480"/>
        <w:jc w:val="both"/>
      </w:pPr>
      <w:r>
        <w:rPr>
          <w:rFonts w:ascii="Times New Roman" w:eastAsia="SimSun" w:hAnsi="Times New Roman"/>
          <w:sz w:val="24"/>
          <w:szCs w:val="24"/>
        </w:rPr>
        <w:t xml:space="preserve">图7-1展示了预测模型 MAE 对比结果。</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外部论文模型适配结果</w:t>
      </w:r>
    </w:p>
    <w:p>
      <w:pPr>
        <w:spacing w:after="120" w:before="0" w:line="360"/>
        <w:ind w:firstLine="480"/>
        <w:jc w:val="both"/>
      </w:pPr>
      <w:r>
        <w:rPr>
          <w:rFonts w:ascii="Times New Roman" w:eastAsia="SimSun" w:hAnsi="Times New Roman"/>
          <w:sz w:val="24"/>
          <w:szCs w:val="24"/>
        </w:rPr>
        <w:t xml:space="preserve">为了增强对比可信度，本文适配了 CCRNN、ESG、ReMo-style 和 GMRL 等外部论文模型到统一 NYC top883 任务</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856"/>
        <w:gridCol w:w="1198"/>
        <w:gridCol w:w="1797"/>
        <w:gridCol w:w="599"/>
        <w:gridCol w:w="599"/>
        <w:gridCol w:w="599"/>
        <w:gridCol w:w="685"/>
        <w:gridCol w:w="685"/>
        <w:gridCol w:w="2052"/>
      </w:tblGrid>
      <w:tr>
        <w:trPr>
          <w:tblHeader/>
        </w:trPr>
        <w:tc>
          <w:tcPr>
            <w:tcW w:type="dxa" w:w="85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论文模型</w:t>
            </w:r>
          </w:p>
        </w:tc>
        <w:tc>
          <w:tcPr>
            <w:tcW w:type="dxa" w:w="11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适配版本</w:t>
            </w:r>
          </w:p>
        </w:tc>
        <w:tc>
          <w:tcPr>
            <w:tcW w:type="dxa" w:w="179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Dep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Arr MAE</w:t>
            </w:r>
          </w:p>
        </w:tc>
        <w:tc>
          <w:tcPr>
            <w:tcW w:type="dxa" w:w="59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RMSE</w:t>
            </w:r>
          </w:p>
        </w:tc>
        <w:tc>
          <w:tcPr>
            <w:tcW w:type="dxa" w:w="68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Avg MAPE</w:t>
            </w:r>
          </w:p>
        </w:tc>
        <w:tc>
          <w:tcPr>
            <w:tcW w:type="dxa" w:w="205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ccrnn_nyc_v1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保留原核心模型并适配 NYC bundle</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esg_nyc_v1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外部论文模型中最好，但训练成本高</w:t>
            </w:r>
          </w:p>
        </w:tc>
      </w:tr>
      <w:tr>
        <w:trPr>
          <w:cantSplit/>
        </w:trPr>
        <w:tc>
          <w:tcPr>
            <w:tcW w:type="dxa" w:w="85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remo_nyc_v1</w:t>
            </w:r>
          </w:p>
        </w:tc>
        <w:tc>
          <w:tcPr>
            <w:tcW w:type="dxa" w:w="179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59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68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05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论文思路适配，不宣称官方复现</w:t>
            </w:r>
          </w:p>
        </w:tc>
      </w:tr>
      <w:tr>
        <w:trPr>
          <w:cantSplit/>
        </w:trPr>
        <w:tc>
          <w:tcPr>
            <w:tcW w:type="dxa" w:w="85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gmrl_nyc_v1</w:t>
            </w:r>
          </w:p>
        </w:tc>
        <w:tc>
          <w:tcPr>
            <w:tcW w:type="dxa" w:w="179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top883, 12-&gt;12, log1p</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59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68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05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 dep/arr 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表现最好，平均 MAE 为 1.8760，但仍弱于本文 Graph WaveNet 和 TFT-style 主线模型。GMRL 的 MAPE 较低，但平均 MAE 仍高于 Graph WaveNet。CCRNN 在本任务上效果较弱，说明原模型结构和本项目数据口径并不完全匹配。ReMo 当前为论文思路适配实现，不能作为官方代码复现结果表述。</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 adaptive-only baseline 的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阶段最有效的优化。seasonal residual 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dep/arr 点预测。Graph WaveNet time + net-loss 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quantile v1 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640"/>
        <w:gridCol w:w="1477"/>
        <w:gridCol w:w="1477"/>
        <w:gridCol w:w="1476"/>
      </w:tblGrid>
      <w:tr>
        <w:trPr>
          <w:tblHeader/>
        </w:trPr>
        <w:tc>
          <w:tcPr>
            <w:tcW w:type="dxa" w:w="464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47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47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464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47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47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464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interval width</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47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47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可解释性方面，attention lag summary 显示模型最关注最近决策时刻，符合短期需求具有惯性的业务直觉。特征组 saliency 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5291"/>
        <w:gridCol w:w="3779"/>
      </w:tblGrid>
      <w:tr>
        <w:trPr>
          <w:tblHeader/>
        </w:trPr>
        <w:tc>
          <w:tcPr>
            <w:tcW w:type="dxa" w:w="529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377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saliency</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history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time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ride_type</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static_station</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weather</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529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flow_inventory</w:t>
            </w:r>
          </w:p>
        </w:tc>
        <w:tc>
          <w:tcPr>
            <w:tcW w:type="dxa" w:w="377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529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holiday</w:t>
            </w:r>
          </w:p>
        </w:tc>
        <w:tc>
          <w:tcPr>
            <w:tcW w:type="dxa" w:w="377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 saliency，说明模型利用了未来已知时间信息和站点周边环境差异。天气和节假日特征排名相对靠后，可能是因为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741"/>
        <w:gridCol w:w="1234"/>
        <w:gridCol w:w="943"/>
        <w:gridCol w:w="580"/>
        <w:gridCol w:w="520"/>
        <w:gridCol w:w="653"/>
        <w:gridCol w:w="520"/>
        <w:gridCol w:w="520"/>
        <w:gridCol w:w="798"/>
        <w:gridCol w:w="798"/>
        <w:gridCol w:w="763"/>
      </w:tblGrid>
      <w:tr>
        <w:trPr>
          <w:tblHeader/>
        </w:trPr>
        <w:tc>
          <w:tcPr>
            <w:tcW w:type="dxa" w:w="17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run</w:t>
            </w:r>
          </w:p>
        </w:tc>
        <w:tc>
          <w:tcPr>
            <w:tcW w:type="dxa" w:w="12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 / 输入模式</w:t>
            </w:r>
          </w:p>
        </w:tc>
        <w:tc>
          <w:tcPr>
            <w:tcW w:type="dxa" w:w="94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8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65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bike-km</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empty</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full</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 lower</w:t>
            </w:r>
          </w:p>
        </w:tc>
        <w:tc>
          <w:tcPr>
            <w:tcW w:type="dxa" w:w="79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above upper</w:t>
            </w:r>
          </w:p>
        </w:tc>
        <w:tc>
          <w:tcPr>
            <w:tcW w:type="dxa" w:w="76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below+above</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 rebalancing</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actual baseline</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none</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greedy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greedy</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oracle min-cost cap200</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true future flow</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v1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time+net-loss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point forecast</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q50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median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7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q10 forecast</w:t>
            </w:r>
          </w:p>
        </w:tc>
        <w:tc>
          <w:tcPr>
            <w:tcW w:type="dxa" w:w="12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conservative risk</w:t>
            </w:r>
          </w:p>
        </w:tc>
        <w:tc>
          <w:tcPr>
            <w:tcW w:type="dxa" w:w="94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65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79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76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7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q90 forecast</w:t>
            </w:r>
          </w:p>
        </w:tc>
        <w:tc>
          <w:tcPr>
            <w:tcW w:type="dxa" w:w="12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aggressive risk</w:t>
            </w:r>
          </w:p>
        </w:tc>
        <w:tc>
          <w:tcPr>
            <w:tcW w:type="dxa" w:w="94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min-cost flow</w:t>
            </w:r>
          </w:p>
        </w:tc>
        <w:tc>
          <w:tcPr>
            <w:tcW w:type="dxa" w:w="58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65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79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76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 baseline 的 below+above 为 1,044,008，说明测试集内大量站点小时处于安全库存带之外。oracle min-cost cap200 将该值降至 110,220，证明在理想未来信息下，当前库存规划和调度框架能够显著缓解缺车和满站风险。</w:t>
      </w:r>
    </w:p>
    <w:p>
      <w:pPr>
        <w:spacing w:after="120" w:before="0" w:line="360"/>
        <w:ind w:firstLine="480"/>
        <w:jc w:val="both"/>
      </w:pPr>
      <w:r>
        <w:rPr>
          <w:rFonts w:ascii="Times New Roman" w:eastAsia="SimSun" w:hAnsi="Times New Roman"/>
          <w:sz w:val="24"/>
          <w:szCs w:val="24"/>
        </w:rPr>
        <w:t xml:space="preserve">Graph WaveNet v1 forecast-driven min-cost 的 below+above 同样为 110,220，与 oracle min-cost 持平，并将 empty 小时降低到 70。但它的 bike-km 为 107,512.4，高于 oracle min-cost 的 97,008.1，说明预测驱动调度在库存边界指标上表现较好，但需要更高搬运成本。</w:t>
      </w:r>
    </w:p>
    <w:p>
      <w:pPr>
        <w:spacing w:after="120" w:before="0" w:line="360"/>
        <w:ind w:firstLine="480"/>
        <w:jc w:val="both"/>
      </w:pPr>
      <w:r>
        <w:rPr>
          <w:rFonts w:ascii="Times New Roman" w:eastAsia="SimSun" w:hAnsi="Times New Roman"/>
          <w:sz w:val="24"/>
          <w:szCs w:val="24"/>
        </w:rPr>
        <w:t xml:space="preserve">Graph WaveNet time+net-loss 在预测 MAE 上优于 Graph WaveNet v1，但调度 below+above 增加到 116,816。这说明优化 dep/arr MAE 和 net-flow MAE 仍不完全等价于优化库存边界指标。调度效果还取决于预测误差的方向、站点容量、安全带位置和算法对未来路径的响应。</w:t>
      </w:r>
    </w:p>
    <w:p>
      <w:pPr>
        <w:spacing w:after="120" w:before="0" w:line="360"/>
        <w:ind w:firstLine="480"/>
        <w:jc w:val="both"/>
      </w:pPr>
      <w:r>
        <w:rPr>
          <w:rFonts w:ascii="Times New Roman" w:eastAsia="SimSun" w:hAnsi="Times New Roman"/>
          <w:sz w:val="24"/>
          <w:szCs w:val="24"/>
        </w:rPr>
        <w:t xml:space="preserve">TFT-style q50 的点预测 MAE 最低，但调度 below+above 为 124,501，未超过 Graph WaveNet v1 forecast-driven min-cost。这进一步说明预测指标和调度指标之间存在目标不一致。对于调度而言，某些站点的方向性误差和边界附近误差比全局平均 MAE 更关键。</w:t>
      </w:r>
    </w:p>
    <w:p>
      <w:pPr>
        <w:spacing w:after="120" w:before="0" w:line="360"/>
        <w:ind w:firstLine="480"/>
        <w:jc w:val="both"/>
      </w:pPr>
      <w:r>
        <w:rPr>
          <w:rFonts w:ascii="Times New Roman" w:eastAsia="SimSun" w:hAnsi="Times New Roman"/>
          <w:sz w:val="24"/>
          <w:szCs w:val="24"/>
        </w:rPr>
        <w:t xml:space="preserve">TFT q10 和 q90 风险模式产生明显偏置。q10 conservative 模式搬运车辆 68,226，below+above 为 295,360；q90 aggressive 模式搬运车辆 85,827，below+above 为 415,002。二者均差于 q50，说明直接使用单侧分位数并不能自然得到更稳健调度策略。后续应将预测区间转化为显式风险约束，而不是简单替换净流量点预测。</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dep/arr 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 adaptive graph，说明模型更依赖从数据中学习的隐含关系。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v1 forecast-driven min-cost。调度指标受库存边界、误差方向和搬运约束影响，未来若要进一步提升系统效果，需要面向调度目标设计损失函数或调度前校准方法。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本文围绕共享单车需求预测与智能调度问题，构建了从数据处理、模型训练、预测导出、调度回测到可视化展示的完整原型系统。主要工作总结如下。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 dep_count、arr_count 和 net_flow，融合天气、时间、节假日、历史模式、站点静态属性、POI 和 OD 关系图，形成 top883 和 top883_poi_v1 等可复现实验数据版本。</w:t>
      </w:r>
    </w:p>
    <w:p>
      <w:pPr>
        <w:spacing w:after="120" w:before="0" w:line="360"/>
        <w:ind w:firstLine="480"/>
        <w:jc w:val="both"/>
      </w:pPr>
      <w:r>
        <w:rPr>
          <w:rFonts w:ascii="Times New Roman" w:eastAsia="SimSun" w:hAnsi="Times New Roman"/>
          <w:sz w:val="24"/>
          <w:szCs w:val="24"/>
        </w:rPr>
        <w:t xml:space="preserve">第二，完成了多种预测模型的统一对比。本文从 AGCRN baseline 出发，研究了地理距离图、OD 图、目标变换、Graph WaveNet 结构、未来目标时间特征和净流量辅助损失，并适配外部论文模型作为对照。Graph WaveNet time + net-loss 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q10、q50、q90 多步预测，使用 Pinball Loss 训练，并导出注意力和特征敏感度解释材料。正式实验中，q50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 min-cost flow 调度算法。本文以库存安全带为目标，将未来净流量预测转化为 donor/receiver 任务，并通过最小费用流降低搬运距离。实验表明，forecast-driven 调度相较无调度 baseline 能显著降低安全库存带违规小时。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第五，实现了离线可视化平台。平台支持历史决策时刻选择、预测模型切换、调度算法切换、站点地图、调度路径、预测区间和库存曲线展示，为论文分析和答辩演示提供了直观支撑。</w:t>
      </w:r>
    </w:p>
    <w:p>
      <w:pPr>
        <w:spacing w:after="120" w:before="0" w:line="360"/>
        <w:ind w:firstLine="480"/>
        <w:jc w:val="both"/>
      </w:pPr>
      <w:r>
        <w:rPr>
          <w:rFonts w:ascii="Times New Roman" w:eastAsia="SimSun" w:hAnsi="Times New Roman"/>
          <w:sz w:val="24"/>
          <w:szCs w:val="24"/>
        </w:rPr>
        <w:t xml:space="preserve">综合来看，本文的核心贡献不在于单独提出某一个孤立模型，而在于将需求预测、不确定性表达、调度优化和系统展示连接为完整链路。在预测层面，本文通过统一口径比较多类模型，明确了 log1p 目标变换、Graph WaveNet 时序结构和 TFT-style 分位数模块的作用；在调度层面，本文将预测净流量转化为库存安全带控制问题，并使用 min-cost flow 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本文还记录了多个负结果，这对毕业设计同样重要。地理距离图没有提升预测效果，说明共享单车站点关系不能简单由距离定义；POI 特征没有改善 Graph WaveNet 点预测，说明在已有历史流量和时间特征足够强时，静态建成环境特征的边际收益有限；TFT-style q50 虽然点预测 MAE 最低，但调度指标不如 Graph WaveNet v1，说明预测目标与调度目标之间仍存在差异。这些负结果使论文结论更加完整，也避免只呈现单一最优结果而忽略方法适用边界。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模块是本地轻量实现，虽然借鉴了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API，可以将离线回测系统扩展为近实时预测与调度原型。</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 min-cost flow 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工程能力。未来系统可以加入用户权限、任务审核、调度任务状态跟踪、结果回写和异常报警等模块，使其从离线回测平台逐步接近运营辅助决策系统。同时，可以将图表导出和报告生成流程自动化，降低模型迭代后更新论文图表和实验报告的成本。</w:t>
      </w:r>
    </w:p>
    <w:p>
      <w:pPr>
        <w:pStyle w:val="Heading1"/>
        <w:keepNext/>
        <w:spacing w:after="240" w:before="384" w:line="360"/>
      </w:pPr>
      <w:r>
        <w:rPr>
          <w:rFonts w:ascii="Times New Roman" w:eastAsia="SimHei" w:hAnsi="Times New Roman"/>
          <w:b/>
          <w:bCs/>
          <w:sz w:val="28"/>
          <w:szCs w:val="28"/>
        </w:rPr>
        <w:t xml:space="preserve">参考文献</w:t>
      </w:r>
    </w:p>
    <w:p>
      <w:pPr>
        <w:spacing w:after="80" w:before="0" w:line="360"/>
        <w:ind w:hanging="420"/>
        <w:jc w:val="both"/>
      </w:pPr>
      <w:r>
        <w:rPr>
          <w:rFonts w:ascii="Times New Roman" w:eastAsia="SimSun" w:hAnsi="Times New Roman"/>
          <w:sz w:val="24"/>
          <w:szCs w:val="24"/>
        </w:rPr>
        <w:t xml:space="preserve">[1] Citi Bike. Citi Bike System Data[EB/OL]. [2026-04-30]. https://citibikenyc.com/system-data.</w:t>
      </w:r>
    </w:p>
    <w:p>
      <w:pPr>
        <w:spacing w:after="80" w:before="0" w:line="360"/>
        <w:ind w:hanging="420"/>
        <w:jc w:val="both"/>
      </w:pPr>
      <w:r>
        <w:rPr>
          <w:rFonts w:ascii="Times New Roman" w:eastAsia="SimSun" w:hAnsi="Times New Roman"/>
          <w:sz w:val="24"/>
          <w:szCs w:val="24"/>
        </w:rPr>
        <w:t xml:space="preserve">[2] Open-Meteo. Historical Weather API[EB/OL]. [2026-04-30]. https://open-meteo.com.</w:t>
      </w:r>
    </w:p>
    <w:p>
      <w:pPr>
        <w:spacing w:after="80" w:before="0" w:line="360"/>
        <w:ind w:hanging="420"/>
        <w:jc w:val="both"/>
      </w:pPr>
      <w:r>
        <w:rPr>
          <w:rFonts w:ascii="Times New Roman" w:eastAsia="SimSun" w:hAnsi="Times New Roman"/>
          <w:sz w:val="24"/>
          <w:szCs w:val="24"/>
        </w:rPr>
        <w:t xml:space="preserve">[3] OpenStreetMap contributors. OpenStreetMap[EB/OL]. [2026-04-30]. https://www.openstreetmap.org.</w:t>
      </w:r>
    </w:p>
    <w:p>
      <w:pPr>
        <w:spacing w:after="80" w:before="0" w:line="360"/>
        <w:ind w:hanging="420"/>
        <w:jc w:val="both"/>
      </w:pPr>
      <w:r>
        <w:rPr>
          <w:rFonts w:ascii="Times New Roman" w:eastAsia="SimSun" w:hAnsi="Times New Roman"/>
          <w:sz w:val="24"/>
          <w:szCs w:val="24"/>
        </w:rPr>
        <w:t xml:space="preserve">[4] Taylor S J, Letham B. Forecasting at scale[J]. The American Statistician, 2018, 72(1): 37-45.</w:t>
      </w:r>
    </w:p>
    <w:p>
      <w:pPr>
        <w:spacing w:after="80" w:before="0" w:line="360"/>
        <w:ind w:hanging="420"/>
        <w:jc w:val="both"/>
      </w:pPr>
      <w:r>
        <w:rPr>
          <w:rFonts w:ascii="Times New Roman" w:eastAsia="SimSun" w:hAnsi="Times New Roman"/>
          <w:sz w:val="24"/>
          <w:szCs w:val="24"/>
        </w:rPr>
        <w:t xml:space="preserve">[5] Hochreiter S, Schmidhuber J. Long short-term memory[J]. Neural Computation, 1997, 9(8): 1735-1780.</w:t>
      </w:r>
    </w:p>
    <w:p>
      <w:pPr>
        <w:spacing w:after="80" w:before="0" w:line="360"/>
        <w:ind w:hanging="42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80" w:before="0" w:line="360"/>
        <w:ind w:hanging="42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80" w:before="0" w:line="360"/>
        <w:ind w:hanging="42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80" w:before="0" w:line="360"/>
        <w:ind w:hanging="42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80" w:before="0" w:line="360"/>
        <w:ind w:hanging="420"/>
        <w:jc w:val="both"/>
      </w:pPr>
      <w:r>
        <w:rPr>
          <w:rFonts w:ascii="Times New Roman" w:eastAsia="SimSun" w:hAnsi="Times New Roman"/>
          <w:sz w:val="24"/>
          <w:szCs w:val="24"/>
        </w:rPr>
        <w:t xml:space="preserve">[10] Koenker R, Bassett G. Regression quantiles[J]. Econometrica, 1978, 46(1): 33-50.</w:t>
      </w:r>
    </w:p>
    <w:p>
      <w:pPr>
        <w:spacing w:after="80" w:before="0" w:line="360"/>
        <w:ind w:hanging="42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80" w:before="0" w:line="360"/>
        <w:ind w:hanging="42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80" w:before="0" w:line="360"/>
        <w:ind w:hanging="42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80" w:before="0" w:line="360"/>
        <w:ind w:hanging="42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80" w:before="0" w:line="360"/>
        <w:ind w:hanging="42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80" w:before="0" w:line="360"/>
        <w:ind w:hanging="42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80" w:before="0" w:line="360"/>
        <w:ind w:hanging="42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80" w:before="0" w:line="360"/>
        <w:ind w:hanging="42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80" w:before="0" w:line="360"/>
        <w:ind w:hanging="42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80" w:before="0" w:line="360"/>
        <w:ind w:hanging="42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80" w:before="0" w:line="360"/>
        <w:ind w:hanging="42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80" w:before="0" w:line="360"/>
        <w:ind w:hanging="42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80" w:before="0" w:line="360"/>
        <w:ind w:hanging="420"/>
        <w:jc w:val="both"/>
      </w:pPr>
      <w:r>
        <w:rPr>
          <w:rFonts w:ascii="Times New Roman" w:eastAsia="SimSun" w:hAnsi="Times New Roman"/>
          <w:sz w:val="24"/>
          <w:szCs w:val="24"/>
        </w:rPr>
        <w:t xml:space="preserve">[23] Toth P, Vigo D, eds. Vehicle Routing: Problems, Methods, and Applications[M]. 2nd ed. Philadelphia: SIAM, 2014.</w:t>
      </w:r>
    </w:p>
    <w:p>
      <w:pPr>
        <w:spacing w:after="80" w:before="0" w:line="360"/>
        <w:ind w:hanging="42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80" w:before="0" w:line="360"/>
        <w:ind w:hanging="42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80" w:before="0" w:line="360"/>
        <w:ind w:hanging="42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80" w:before="0" w:line="360"/>
        <w:ind w:hanging="42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80" w:before="0" w:line="360"/>
        <w:ind w:hanging="42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80" w:before="0" w:line="360"/>
        <w:ind w:hanging="420"/>
        <w:jc w:val="both"/>
      </w:pPr>
      <w:r>
        <w:rPr>
          <w:rFonts w:ascii="Times New Roman" w:eastAsia="SimSun" w:hAnsi="Times New Roman"/>
          <w:sz w:val="24"/>
          <w:szCs w:val="24"/>
        </w:rPr>
        <w:t xml:space="preserve">[29] Google. OR-Tools Documentation[EB/OL]. [2026-04-30]. https://developers.google.com/optimization.</w:t>
      </w:r>
    </w:p>
    <w:p>
      <w:pPr>
        <w:spacing w:after="80" w:before="0" w:line="360"/>
        <w:ind w:hanging="420"/>
        <w:jc w:val="both"/>
      </w:pPr>
      <w:r>
        <w:rPr>
          <w:rFonts w:ascii="Times New Roman" w:eastAsia="SimSun" w:hAnsi="Times New Roman"/>
          <w:sz w:val="24"/>
          <w:szCs w:val="24"/>
        </w:rPr>
        <w:t xml:space="preserve">[30] FastAPI. FastAPI Documentation[EB/OL]. [2026-04-30]. https://fastapi.tiangolo.com.</w:t>
      </w:r>
    </w:p>
    <w:p>
      <w:pPr>
        <w:spacing w:after="80" w:before="0" w:line="360"/>
        <w:ind w:hanging="420"/>
        <w:jc w:val="both"/>
      </w:pPr>
      <w:r>
        <w:rPr>
          <w:rFonts w:ascii="Times New Roman" w:eastAsia="SimSun" w:hAnsi="Times New Roman"/>
          <w:sz w:val="24"/>
          <w:szCs w:val="24"/>
        </w:rPr>
        <w:t xml:space="preserve">[31] Meta Open Source. React Documentation[EB/OL]. [2026-04-30]. https://react.dev.</w:t>
      </w:r>
    </w:p>
    <w:p>
      <w:pPr>
        <w:spacing w:after="80" w:before="0" w:line="360"/>
        <w:ind w:hanging="420"/>
        <w:jc w:val="both"/>
      </w:pPr>
      <w:r>
        <w:rPr>
          <w:rFonts w:ascii="Times New Roman" w:eastAsia="SimSun" w:hAnsi="Times New Roman"/>
          <w:sz w:val="24"/>
          <w:szCs w:val="24"/>
        </w:rPr>
        <w:t xml:space="preserve">[32] MapLibre. MapLibre GL JS Documentation[EB/OL]. [2026-04-30]. https://maplibre.org.</w:t>
      </w:r>
    </w:p>
    <w:p>
      <w:pPr>
        <w:spacing w:after="80" w:before="0" w:line="360"/>
        <w:ind w:hanging="42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组件、数据处理工具和公开数据资源，使本文能够在可复现的基础上完成共享单车预测与调度系统原型。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主要实验结果来源</w:t>
      </w:r>
    </w:p>
    <w:p>
      <w:pPr>
        <w:spacing w:after="120" w:before="0" w:line="360"/>
        <w:ind w:firstLine="480"/>
        <w:jc w:val="both"/>
      </w:pPr>
      <w:r>
        <w:rPr>
          <w:rFonts w:ascii="Times New Roman" w:eastAsia="SimSun" w:hAnsi="Times New Roman"/>
          <w:sz w:val="24"/>
          <w:szCs w:val="24"/>
        </w:rPr>
        <w:t xml:space="preserve">主要预测结果来自</w:t>
      </w:r>
      <w:r>
        <w:rPr>
          <w:rFonts w:ascii="Courier New" w:eastAsia="SimSun" w:hAnsi="Courier New"/>
          <w:sz w:val="22"/>
          <w:szCs w:val="22"/>
        </w:rPr>
        <w:t xml:space="preserve">thesis/model_benchmark_results.md</w:t>
      </w:r>
      <w:r>
        <w:rPr>
          <w:rFonts w:ascii="Times New Roman" w:eastAsia="SimSun" w:hAnsi="Times New Roman"/>
          <w:sz w:val="24"/>
          <w:szCs w:val="24"/>
        </w:rPr>
        <w:t xml:space="preserve">、各模型目录下的</w:t>
      </w:r>
      <w:r>
        <w:rPr>
          <w:rFonts w:ascii="Courier New" w:eastAsia="SimSun" w:hAnsi="Courier New"/>
          <w:sz w:val="22"/>
          <w:szCs w:val="22"/>
        </w:rPr>
        <w:t xml:space="preserve">metrics_summary.json</w:t>
      </w:r>
      <w:r>
        <w:rPr>
          <w:rFonts w:ascii="Times New Roman" w:eastAsia="SimSun" w:hAnsi="Times New Roman"/>
          <w:sz w:val="24"/>
          <w:szCs w:val="24"/>
        </w:rPr>
        <w:t xml:space="preserve">、</w:t>
      </w:r>
      <w:r>
        <w:rPr>
          <w:rFonts w:ascii="Courier New" w:eastAsia="SimSun" w:hAnsi="Courier New"/>
          <w:sz w:val="22"/>
          <w:szCs w:val="22"/>
        </w:rPr>
        <w:t xml:space="preserve">train_history.csv</w:t>
      </w:r>
      <w:r>
        <w:rPr>
          <w:rFonts w:ascii="Times New Roman" w:eastAsia="SimSun" w:hAnsi="Times New Roman"/>
          <w:sz w:val="24"/>
          <w:szCs w:val="24"/>
        </w:rPr>
        <w:t xml:space="preserve">和</w:t>
      </w:r>
      <w:r>
        <w:rPr>
          <w:rFonts w:ascii="Courier New" w:eastAsia="SimSun" w:hAnsi="Courier New"/>
          <w:sz w:val="22"/>
          <w:szCs w:val="22"/>
        </w:rPr>
        <w:t xml:space="preserve">test_horizon_metrics.csv</w:t>
      </w:r>
      <w:r>
        <w:rPr>
          <w:rFonts w:ascii="Times New Roman" w:eastAsia="SimSun" w:hAnsi="Times New Roman"/>
          <w:sz w:val="24"/>
          <w:szCs w:val="24"/>
        </w:rPr>
        <w:t xml:space="preserve">。主要调度结果来自各调度 run 目录下的</w:t>
      </w:r>
      <w:r>
        <w:rPr>
          <w:rFonts w:ascii="Courier New" w:eastAsia="SimSun" w:hAnsi="Courier New"/>
          <w:sz w:val="22"/>
          <w:szCs w:val="22"/>
        </w:rPr>
        <w:t xml:space="preserve">run_summary.json</w:t>
      </w:r>
      <w:r>
        <w:rPr>
          <w:rFonts w:ascii="Times New Roman" w:eastAsia="SimSun" w:hAnsi="Times New Roman"/>
          <w:sz w:val="24"/>
          <w:szCs w:val="24"/>
        </w:rPr>
        <w:t xml:space="preserve">、</w:t>
      </w:r>
      <w:r>
        <w:rPr>
          <w:rFonts w:ascii="Courier New" w:eastAsia="SimSun" w:hAnsi="Courier New"/>
          <w:sz w:val="22"/>
          <w:szCs w:val="22"/>
        </w:rPr>
        <w:t xml:space="preserve">rebalancing_step_summary.csv</w:t>
      </w:r>
      <w:r>
        <w:rPr>
          <w:rFonts w:ascii="Times New Roman" w:eastAsia="SimSun" w:hAnsi="Times New Roman"/>
          <w:sz w:val="24"/>
          <w:szCs w:val="24"/>
        </w:rPr>
        <w:t xml:space="preserve">、</w:t>
      </w:r>
      <w:r>
        <w:rPr>
          <w:rFonts w:ascii="Courier New" w:eastAsia="SimSun" w:hAnsi="Courier New"/>
          <w:sz w:val="22"/>
          <w:szCs w:val="22"/>
        </w:rPr>
        <w:t xml:space="preserve">rebalancing_transfer_plan.parquet</w:t>
      </w:r>
      <w:r>
        <w:rPr>
          <w:rFonts w:ascii="Times New Roman" w:eastAsia="SimSun" w:hAnsi="Times New Roman"/>
          <w:sz w:val="24"/>
          <w:szCs w:val="24"/>
        </w:rPr>
        <w:t xml:space="preserve">和</w:t>
      </w:r>
      <w:r>
        <w:rPr>
          <w:rFonts w:ascii="Courier New" w:eastAsia="SimSun" w:hAnsi="Courier New"/>
          <w:sz w:val="22"/>
          <w:szCs w:val="22"/>
        </w:rPr>
        <w:t xml:space="preserve">inventory_simulation.parquet</w:t>
      </w:r>
      <w:r>
        <w:rPr>
          <w:rFonts w:ascii="Times New Roman" w:eastAsia="SimSun" w:hAnsi="Times New Roman"/>
          <w:sz w:val="24"/>
          <w:szCs w:val="24"/>
        </w:rPr>
        <w:t xml:space="preserve">。</w:t>
      </w:r>
    </w:p>
    <w:p>
      <w:pPr>
        <w:pStyle w:val="Heading2"/>
        <w:keepNext/>
        <w:spacing w:after="180" w:before="240" w:line="360"/>
      </w:pPr>
      <w:r>
        <w:rPr>
          <w:rFonts w:ascii="Times New Roman" w:eastAsia="SimHei" w:hAnsi="Times New Roman"/>
          <w:b/>
          <w:bCs/>
          <w:sz w:val="24"/>
          <w:szCs w:val="24"/>
        </w:rPr>
        <w:t xml:space="preserve">附录B 主要代码目录</w:t>
      </w:r>
    </w:p>
    <w:p>
      <w:pPr>
        <w:spacing w:after="80" w:before="180" w:line="260"/>
        <w:jc w:val="center"/>
      </w:pPr>
      <w:r>
        <w:rPr>
          <w:rFonts w:ascii="Times New Roman" w:eastAsia="SimSun" w:hAnsi="Times New Roman"/>
          <w:sz w:val="21"/>
          <w:szCs w:val="21"/>
        </w:rPr>
        <w:t xml:space="preserve">表B-1 主要代码目录</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535"/>
        <w:gridCol w:w="4535"/>
      </w:tblGrid>
      <w:tr>
        <w:trPr>
          <w:tblHeader/>
        </w:trPr>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目录</w:t>
            </w:r>
          </w:p>
        </w:tc>
        <w:tc>
          <w:tcPr>
            <w:tcW w:type="dxa" w:w="4535"/>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说明</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dataset/</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数据源下载、预处理和 POI 特征构建</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forecasting_models/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AGCRN、Graph WaveNet、TFT-style 和外部论文模型适配</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rebalancing_algorithms/</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greedy、min-cost flow 和 penalty-aware 调度算法</w:t>
            </w:r>
          </w:p>
        </w:tc>
      </w:tr>
      <w:tr>
        <w:trPr>
          <w:cantSplit/>
        </w:trPr>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visualization_platform/</w:t>
            </w:r>
          </w:p>
        </w:tc>
        <w:tc>
          <w:tcPr>
            <w:tcW w:type="dxa" w:w="4535"/>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FastAPI 后端和 React 前端</w:t>
            </w:r>
          </w:p>
        </w:tc>
      </w:tr>
      <w:tr>
        <w:trPr>
          <w:cantSplit/>
        </w:trPr>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Courier New" w:eastAsia="SimSun" w:hAnsi="Courier New"/>
                <w:sz w:val="16"/>
                <w:szCs w:val="16"/>
              </w:rPr>
              <w:t xml:space="preserve">thesis/</w:t>
            </w:r>
          </w:p>
        </w:tc>
        <w:tc>
          <w:tcPr>
            <w:tcW w:type="dxa" w:w="4535"/>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研究日志、模型结果汇总、外文翻译和论文材料</w:t>
            </w:r>
          </w:p>
        </w:tc>
      </w:tr>
    </w:tbl>
    <w:p>
      <w:pPr>
        <w:spacing w:after="160" w:before="0" w:line="240"/>
      </w:pPr>
      <w:r>
        <w:rPr>
          <w:rFonts w:ascii="Times New Roman" w:eastAsia="SimSun" w:hAnsi="Times New Roman"/>
          <w:sz w:val="24"/>
          <w:szCs w:val="24"/>
        </w:rPr>
        <w:t xml:space="preserve"/>
      </w:r>
    </w:p>
    <w:sectPr>
      <w:headerReference w:type="default" r:id="rId10"/>
      <w:footerReference w:type="default" r:id="rId11"/>
      <w:type w:val="nextPage"/>
      <w:pgSz w:w="11906" w:h="16838" w:orient="portrait"/>
      <w:pgMar w:top="1191"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7a2730e14d595f748c8126b197ead1e67da450ee.png"/><Relationship Id="rId14" Type="http://schemas.openxmlformats.org/officeDocument/2006/relationships/image" Target="media/52e35ae60a85b457bc0e1075ee60887e68c8c9ee.png"/><Relationship Id="rId15" Type="http://schemas.openxmlformats.org/officeDocument/2006/relationships/image" Target="media/84cdd9a5d18113374c376c3d40b9157b576f943e.png"/><Relationship Id="rId16" Type="http://schemas.openxmlformats.org/officeDocument/2006/relationships/image" Target="media/90a9764186fd9c68c4867f10f8e7b0da282f9a58.png"/><Relationship Id="rId17" Type="http://schemas.openxmlformats.org/officeDocument/2006/relationships/image" Target="media/d4fdc83984d8cb0198cda86918c78bee1d64ef3f.png"/><Relationship Id="rId18" Type="http://schemas.openxmlformats.org/officeDocument/2006/relationships/image" Target="media/a25160e938fc07dd93559642f46a8e8b1998b218.png"/><Relationship Id="rId19" Type="http://schemas.openxmlformats.org/officeDocument/2006/relationships/image" Target="media/d6da53624093f19ea614266aa4d1fd127eabef06.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2026-05-10T07:31:21.667Z</dcterms:created>
  <dcterms:modified xsi:type="dcterms:W3CDTF">2026-05-10T07:31:21.667Z</dcterms:modified>
</cp:coreProperties>
</file>

<file path=docProps/custom.xml><?xml version="1.0" encoding="utf-8"?>
<Properties xmlns="http://schemas.openxmlformats.org/officeDocument/2006/custom-properties" xmlns:vt="http://schemas.openxmlformats.org/officeDocument/2006/docPropsVTypes"/>
</file>