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59842" w14:textId="77777777" w:rsidR="00BF58BB" w:rsidRDefault="00BF58BB" w:rsidP="004F2D6E">
      <w:pPr>
        <w:spacing w:after="0" w:line="276" w:lineRule="auto"/>
        <w:rPr>
          <w:noProof/>
        </w:rPr>
      </w:pPr>
    </w:p>
    <w:p w14:paraId="711A3226" w14:textId="519A4D5F" w:rsidR="00AD0FE3" w:rsidRDefault="00AD0FE3" w:rsidP="004F2D6E">
      <w:pPr>
        <w:spacing w:after="0" w:line="276" w:lineRule="auto"/>
        <w:ind w:firstLine="720"/>
        <w:rPr>
          <w:noProof/>
        </w:rPr>
      </w:pPr>
      <w:r>
        <w:rPr>
          <w:noProof/>
        </w:rPr>
        <w:t>For this</w:t>
      </w:r>
      <w:r w:rsidR="00BF58BB">
        <w:rPr>
          <w:noProof/>
        </w:rPr>
        <w:t xml:space="preserve"> Excel based project</w:t>
      </w:r>
      <w:r w:rsidR="00001272">
        <w:rPr>
          <w:noProof/>
        </w:rPr>
        <w:t>, I analyzed a dataset of over 4,000 Kickstarter projects to assess the qualities of projects that are successfully funded vs. projects that fail</w:t>
      </w:r>
      <w:r w:rsidR="00E3218A">
        <w:rPr>
          <w:noProof/>
        </w:rPr>
        <w:t>. Some of the factors I analyzed include the parent and sub-categories of successful vs. failed projects</w:t>
      </w:r>
      <w:r w:rsidR="00536D15">
        <w:rPr>
          <w:noProof/>
        </w:rPr>
        <w:t xml:space="preserve">, the number of backers, the funding goals, and the time of year that the projects were launched. This project demonstrates my skills in </w:t>
      </w:r>
      <w:r w:rsidR="00644307">
        <w:rPr>
          <w:noProof/>
        </w:rPr>
        <w:t>conditional formatting and formulae in Excel, making and manipulating PivotTables and PivotCharts</w:t>
      </w:r>
      <w:r w:rsidR="00CD5DC4">
        <w:rPr>
          <w:noProof/>
        </w:rPr>
        <w:t xml:space="preserve"> (including the use of calculated fields for each), </w:t>
      </w:r>
      <w:r w:rsidR="00DC4A20">
        <w:rPr>
          <w:noProof/>
        </w:rPr>
        <w:t xml:space="preserve">and analysis of summary statistics. </w:t>
      </w:r>
      <w:r w:rsidR="00FE619F">
        <w:rPr>
          <w:noProof/>
        </w:rPr>
        <w:t xml:space="preserve">This write-up will include the charts I made based on the data set, but the full analysis and dashboard version of the visualized data are available in the companion Excel workbook. </w:t>
      </w:r>
    </w:p>
    <w:p w14:paraId="2F3F8E82" w14:textId="344AD8EF" w:rsidR="00DC4A20" w:rsidRDefault="00DC4A20" w:rsidP="004F2D6E">
      <w:pPr>
        <w:spacing w:after="0" w:line="276" w:lineRule="auto"/>
        <w:rPr>
          <w:noProof/>
        </w:rPr>
      </w:pPr>
    </w:p>
    <w:p w14:paraId="36711C25" w14:textId="6C04D619" w:rsidR="00DC4A20" w:rsidRDefault="00DC4A20" w:rsidP="004F2D6E">
      <w:pPr>
        <w:spacing w:after="0" w:line="276" w:lineRule="auto"/>
        <w:jc w:val="center"/>
        <w:rPr>
          <w:noProof/>
        </w:rPr>
      </w:pPr>
      <w:r>
        <w:rPr>
          <w:noProof/>
        </w:rPr>
        <w:drawing>
          <wp:inline distT="0" distB="0" distL="0" distR="0" wp14:anchorId="472B8B98" wp14:editId="6C972347">
            <wp:extent cx="6199991" cy="3819795"/>
            <wp:effectExtent l="0" t="0" r="10795" b="9525"/>
            <wp:docPr id="2" name="Chart 2">
              <a:extLst xmlns:a="http://schemas.openxmlformats.org/drawingml/2006/main">
                <a:ext uri="{FF2B5EF4-FFF2-40B4-BE49-F238E27FC236}">
                  <a16:creationId xmlns:a16="http://schemas.microsoft.com/office/drawing/2014/main" id="{137AF0DF-2636-40E5-BBF8-EC73BC3A2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9675DF" w14:textId="77777777" w:rsidR="00FE619F" w:rsidRDefault="00FE619F" w:rsidP="004F2D6E">
      <w:pPr>
        <w:spacing w:after="0" w:line="276" w:lineRule="auto"/>
        <w:jc w:val="center"/>
        <w:rPr>
          <w:noProof/>
        </w:rPr>
      </w:pPr>
    </w:p>
    <w:p w14:paraId="63A43F00" w14:textId="5617AF7F" w:rsidR="006E015E" w:rsidRDefault="002A3238" w:rsidP="004F2D6E">
      <w:pPr>
        <w:spacing w:line="276" w:lineRule="auto"/>
        <w:ind w:firstLine="720"/>
        <w:rPr>
          <w:noProof/>
        </w:rPr>
      </w:pPr>
      <w:r>
        <w:rPr>
          <w:noProof/>
        </w:rPr>
        <w:t>Given the provided data, we can understand on a broad level that entertainment-based Kickstarters tend to be the most successful,</w:t>
      </w:r>
      <w:r w:rsidR="00773036">
        <w:rPr>
          <w:noProof/>
        </w:rPr>
        <w:t xml:space="preserve"> with theater-related projects (specifically plays) making up the greatest gross </w:t>
      </w:r>
      <w:r w:rsidR="00717AC0">
        <w:rPr>
          <w:noProof/>
        </w:rPr>
        <w:t>successes</w:t>
      </w:r>
      <w:r w:rsidR="00A82ABD">
        <w:rPr>
          <w:noProof/>
        </w:rPr>
        <w:t xml:space="preserve"> at 694 successful plays</w:t>
      </w:r>
      <w:r w:rsidR="00717AC0">
        <w:rPr>
          <w:noProof/>
        </w:rPr>
        <w:t xml:space="preserve">. However, if we consider success based on the proportion of successful to failed projects, music-related projects </w:t>
      </w:r>
      <w:r w:rsidR="00D8075C">
        <w:rPr>
          <w:noProof/>
        </w:rPr>
        <w:t>make up the greatest proportion of successful to failed projects. Among those projects, rock and indie rock kickstarters tend to be the most successful</w:t>
      </w:r>
      <w:r w:rsidR="00533902">
        <w:rPr>
          <w:noProof/>
        </w:rPr>
        <w:t xml:space="preserve">, with 260 successful rock </w:t>
      </w:r>
      <w:r w:rsidR="00E05561">
        <w:rPr>
          <w:noProof/>
        </w:rPr>
        <w:t xml:space="preserve">Kickstarters and 140 successful indie rock kickstarters. </w:t>
      </w:r>
      <w:r w:rsidR="00F74CC9">
        <w:rPr>
          <w:noProof/>
        </w:rPr>
        <w:t xml:space="preserve">We can also conclude that Kickstarters have a higher percentage of success in </w:t>
      </w:r>
      <w:r w:rsidR="00615124">
        <w:rPr>
          <w:noProof/>
        </w:rPr>
        <w:t xml:space="preserve">April in any given year, with an average success rate of 65.31%. </w:t>
      </w:r>
    </w:p>
    <w:p w14:paraId="4D0B6C81" w14:textId="72DE446C" w:rsidR="00FE619F" w:rsidRDefault="00D86514" w:rsidP="004F2D6E">
      <w:pPr>
        <w:spacing w:line="276" w:lineRule="auto"/>
        <w:jc w:val="center"/>
        <w:rPr>
          <w:noProof/>
        </w:rPr>
      </w:pPr>
      <w:r>
        <w:rPr>
          <w:noProof/>
        </w:rPr>
        <w:lastRenderedPageBreak/>
        <w:drawing>
          <wp:inline distT="0" distB="0" distL="0" distR="0" wp14:anchorId="53F3D2F4" wp14:editId="4BF0ADE3">
            <wp:extent cx="5913228" cy="3291840"/>
            <wp:effectExtent l="0" t="0" r="11430" b="3810"/>
            <wp:docPr id="3" name="Chart 3">
              <a:extLst xmlns:a="http://schemas.openxmlformats.org/drawingml/2006/main">
                <a:ext uri="{FF2B5EF4-FFF2-40B4-BE49-F238E27FC236}">
                  <a16:creationId xmlns:a16="http://schemas.microsoft.com/office/drawing/2014/main" id="{7A4E4784-B0A6-4172-BEDB-3925CB8EB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2F4D0B" w14:textId="5DAB3C82" w:rsidR="006E3A87" w:rsidRDefault="006648F6" w:rsidP="004F2D6E">
      <w:pPr>
        <w:spacing w:line="276" w:lineRule="auto"/>
        <w:ind w:firstLine="360"/>
        <w:rPr>
          <w:noProof/>
        </w:rPr>
      </w:pPr>
      <w:r>
        <w:rPr>
          <w:noProof/>
        </w:rPr>
        <w:t xml:space="preserve">There’s a few limitations in this data set that would offer a more complete picture and more complete analytical capabilities if included. One </w:t>
      </w:r>
      <w:r w:rsidR="00852E7E">
        <w:rPr>
          <w:noProof/>
        </w:rPr>
        <w:t xml:space="preserve">would be the age of the </w:t>
      </w:r>
      <w:r w:rsidR="005F2992">
        <w:rPr>
          <w:noProof/>
        </w:rPr>
        <w:t xml:space="preserve">person in charge of the kickstarter (or average age if it is a group of people). This would offer interesting insight </w:t>
      </w:r>
      <w:r w:rsidR="00293A39">
        <w:rPr>
          <w:noProof/>
        </w:rPr>
        <w:t xml:space="preserve">as to whether there’s a difference </w:t>
      </w:r>
      <w:r w:rsidR="00F95DBA">
        <w:rPr>
          <w:noProof/>
        </w:rPr>
        <w:t xml:space="preserve">in success rate based on age. Additionally, some measure of funding rate would also offer </w:t>
      </w:r>
      <w:r w:rsidR="00E13919">
        <w:rPr>
          <w:noProof/>
        </w:rPr>
        <w:t xml:space="preserve">useful </w:t>
      </w:r>
      <w:r w:rsidR="00742AC3">
        <w:rPr>
          <w:noProof/>
        </w:rPr>
        <w:t xml:space="preserve">insight. A metric of funding rate would look like data that tracks how many backers join a project per day over the course of the project length, that could then be consolidated into an average. That would allow for answering the question of whether projects with higher initial momentum eventually achieve funding or </w:t>
      </w:r>
      <w:r w:rsidR="00786455">
        <w:rPr>
          <w:noProof/>
        </w:rPr>
        <w:t xml:space="preserve">if projects with more steady engagement eventually gain funding. </w:t>
      </w:r>
    </w:p>
    <w:p w14:paraId="0D3D20D8" w14:textId="7CAD8CBA" w:rsidR="002214CA" w:rsidRDefault="002214CA" w:rsidP="004F2D6E">
      <w:pPr>
        <w:spacing w:line="276" w:lineRule="auto"/>
        <w:ind w:firstLine="360"/>
        <w:jc w:val="center"/>
        <w:rPr>
          <w:noProof/>
        </w:rPr>
      </w:pPr>
      <w:r>
        <w:rPr>
          <w:noProof/>
        </w:rPr>
        <w:drawing>
          <wp:inline distT="0" distB="0" distL="0" distR="0" wp14:anchorId="28FCB688" wp14:editId="01F335BC">
            <wp:extent cx="5904856" cy="2202180"/>
            <wp:effectExtent l="0" t="0" r="1270" b="7620"/>
            <wp:docPr id="4" name="Chart 4">
              <a:extLst xmlns:a="http://schemas.openxmlformats.org/drawingml/2006/main">
                <a:ext uri="{FF2B5EF4-FFF2-40B4-BE49-F238E27FC236}">
                  <a16:creationId xmlns:a16="http://schemas.microsoft.com/office/drawing/2014/main" id="{1918AD6E-143C-495E-AD0D-5CF5C2336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7D42EB" w14:textId="54A193D3" w:rsidR="006F4AC8" w:rsidRDefault="002214CA" w:rsidP="004F2D6E">
      <w:pPr>
        <w:spacing w:after="0" w:line="276" w:lineRule="auto"/>
        <w:ind w:firstLine="360"/>
        <w:rPr>
          <w:noProof/>
        </w:rPr>
      </w:pPr>
      <w:r>
        <w:rPr>
          <w:noProof/>
        </w:rPr>
        <w:t>Some other possible visualizations would include a</w:t>
      </w:r>
      <w:r w:rsidR="006F4AC8">
        <w:rPr>
          <w:noProof/>
        </w:rPr>
        <w:t xml:space="preserve"> bar chart tracking the success rate (a simple metric calculated by dividing the number of successful projects by </w:t>
      </w:r>
      <w:r w:rsidR="0002467B">
        <w:rPr>
          <w:noProof/>
        </w:rPr>
        <w:t xml:space="preserve">the sum of successful and failed projects) by category and over time would offer useful insight for potential project starters. Tracking success rate by time of year would help potential project starters choose the most optimal time to </w:t>
      </w:r>
      <w:r w:rsidR="003E18B2">
        <w:rPr>
          <w:noProof/>
        </w:rPr>
        <w:t>launch a project based on their odds of success. This data could be further parsed by average project length—i.e. answering the quest</w:t>
      </w:r>
      <w:r w:rsidR="00884E34">
        <w:rPr>
          <w:noProof/>
        </w:rPr>
        <w:t xml:space="preserve">ion: what projects get funded more quickly? Does rate of funding change based on time of year? </w:t>
      </w:r>
      <w:r w:rsidR="001E118C">
        <w:rPr>
          <w:noProof/>
        </w:rPr>
        <w:t xml:space="preserve">Each of these insights would offer potential project starters </w:t>
      </w:r>
      <w:r w:rsidR="00E07E18">
        <w:rPr>
          <w:noProof/>
        </w:rPr>
        <w:t xml:space="preserve">tools to decide how best to approach getting their project funded. </w:t>
      </w:r>
    </w:p>
    <w:p w14:paraId="55B0FAC4" w14:textId="1E103DD5" w:rsidR="002214CA" w:rsidRDefault="000A6437" w:rsidP="004F2D6E">
      <w:pPr>
        <w:spacing w:after="0" w:line="276" w:lineRule="auto"/>
        <w:ind w:firstLine="360"/>
        <w:rPr>
          <w:noProof/>
        </w:rPr>
      </w:pPr>
      <w:r>
        <w:rPr>
          <w:noProof/>
        </w:rPr>
        <w:lastRenderedPageBreak/>
        <w:t>Another potential direction for further analysis would b</w:t>
      </w:r>
      <w:r w:rsidR="00D027D3">
        <w:rPr>
          <w:noProof/>
        </w:rPr>
        <w:t>e analyzing the success vs. failure vs. cancellation rate of projects based on their financial goal range, as visualized below</w:t>
      </w:r>
      <w:r w:rsidR="00313211">
        <w:rPr>
          <w:noProof/>
        </w:rPr>
        <w:t xml:space="preserve">. The chart below shows that the percentage of successful projects goes down overall as the financial goal range </w:t>
      </w:r>
      <w:r w:rsidR="007920F0">
        <w:rPr>
          <w:noProof/>
        </w:rPr>
        <w:t>goes up. Correspondingly, the percentage of failed projects goes up overall as the financial goal range goes up</w:t>
      </w:r>
      <w:r w:rsidR="00D41590">
        <w:rPr>
          <w:noProof/>
        </w:rPr>
        <w:t xml:space="preserve">. </w:t>
      </w:r>
    </w:p>
    <w:p w14:paraId="00A044CD" w14:textId="7020D2DE" w:rsidR="00D027D3" w:rsidRDefault="00B227F1" w:rsidP="004F2D6E">
      <w:pPr>
        <w:spacing w:after="0" w:line="276" w:lineRule="auto"/>
        <w:ind w:firstLine="360"/>
        <w:rPr>
          <w:noProof/>
        </w:rPr>
      </w:pPr>
      <w:r>
        <w:rPr>
          <w:noProof/>
        </w:rPr>
        <w:drawing>
          <wp:inline distT="0" distB="0" distL="0" distR="0" wp14:anchorId="5CE4725B" wp14:editId="4303E8D9">
            <wp:extent cx="6728460" cy="4480560"/>
            <wp:effectExtent l="0" t="0" r="15240" b="15240"/>
            <wp:docPr id="6" name="Chart 6">
              <a:extLst xmlns:a="http://schemas.openxmlformats.org/drawingml/2006/main">
                <a:ext uri="{FF2B5EF4-FFF2-40B4-BE49-F238E27FC236}">
                  <a16:creationId xmlns:a16="http://schemas.microsoft.com/office/drawing/2014/main" id="{4F41E139-D47C-4C92-8F66-C2E03E0D09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467B38" w14:textId="49B035D8" w:rsidR="00D41590" w:rsidRDefault="00D41590" w:rsidP="004F2D6E">
      <w:pPr>
        <w:spacing w:after="0" w:line="276" w:lineRule="auto"/>
        <w:ind w:firstLine="360"/>
        <w:rPr>
          <w:noProof/>
        </w:rPr>
      </w:pPr>
      <w:r>
        <w:rPr>
          <w:noProof/>
        </w:rPr>
        <w:tab/>
        <w:t xml:space="preserve">A final point of analysis is comparing summary statistics regarding backer count for successful vs. failed projects, as shown in the tables below. Successful projects overall have more backers as shown by the median and mean </w:t>
      </w:r>
      <w:r w:rsidR="00240A5E">
        <w:rPr>
          <w:noProof/>
        </w:rPr>
        <w:t xml:space="preserve">measurements, and successful projects have a much higher variability in terms of supporters, which makes sense given that there are more successful than failed projects in this dataset. </w:t>
      </w:r>
    </w:p>
    <w:p w14:paraId="080E7351" w14:textId="77777777" w:rsidR="00F15464" w:rsidRDefault="00F15464" w:rsidP="004F2D6E">
      <w:pPr>
        <w:spacing w:after="0" w:line="276" w:lineRule="auto"/>
        <w:ind w:firstLine="360"/>
        <w:rPr>
          <w:noProof/>
        </w:rPr>
      </w:pPr>
    </w:p>
    <w:tbl>
      <w:tblPr>
        <w:tblpPr w:leftFromText="180" w:rightFromText="180" w:vertAnchor="text" w:horzAnchor="page" w:tblpX="7374" w:tblpY="290"/>
        <w:tblW w:w="3520" w:type="dxa"/>
        <w:tblLook w:val="04A0" w:firstRow="1" w:lastRow="0" w:firstColumn="1" w:lastColumn="0" w:noHBand="0" w:noVBand="1"/>
      </w:tblPr>
      <w:tblGrid>
        <w:gridCol w:w="2000"/>
        <w:gridCol w:w="1520"/>
      </w:tblGrid>
      <w:tr w:rsidR="00DE2329" w:rsidRPr="00DE2329" w14:paraId="7F509D9B"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418AB3" w:fill="418AB3"/>
            <w:noWrap/>
            <w:vAlign w:val="bottom"/>
            <w:hideMark/>
          </w:tcPr>
          <w:p w14:paraId="3052DD34" w14:textId="77777777" w:rsidR="00DE2329" w:rsidRPr="00DE2329" w:rsidRDefault="00DE2329" w:rsidP="004F2D6E">
            <w:pPr>
              <w:spacing w:after="0" w:line="276" w:lineRule="auto"/>
              <w:rPr>
                <w:rFonts w:ascii="Calibri" w:eastAsia="Times New Roman" w:hAnsi="Calibri" w:cs="Calibri"/>
                <w:b/>
                <w:bCs/>
                <w:color w:val="FFFFFF"/>
              </w:rPr>
            </w:pPr>
            <w:r w:rsidRPr="00DE2329">
              <w:rPr>
                <w:rFonts w:ascii="Calibri" w:eastAsia="Times New Roman" w:hAnsi="Calibri" w:cs="Calibri"/>
                <w:b/>
                <w:bCs/>
                <w:color w:val="FFFFFF"/>
              </w:rPr>
              <w:t>Metric</w:t>
            </w:r>
          </w:p>
        </w:tc>
        <w:tc>
          <w:tcPr>
            <w:tcW w:w="1520" w:type="dxa"/>
            <w:tcBorders>
              <w:top w:val="single" w:sz="4" w:space="0" w:color="8ABBD5"/>
              <w:left w:val="nil"/>
              <w:bottom w:val="single" w:sz="4" w:space="0" w:color="8ABBD5"/>
              <w:right w:val="single" w:sz="4" w:space="0" w:color="8ABBD5"/>
            </w:tcBorders>
            <w:shd w:val="clear" w:color="418AB3" w:fill="418AB3"/>
            <w:noWrap/>
            <w:vAlign w:val="bottom"/>
            <w:hideMark/>
          </w:tcPr>
          <w:p w14:paraId="75FCD3A7" w14:textId="77777777" w:rsidR="00DE2329" w:rsidRPr="00DE2329" w:rsidRDefault="00DE2329" w:rsidP="004F2D6E">
            <w:pPr>
              <w:spacing w:after="0" w:line="276" w:lineRule="auto"/>
              <w:rPr>
                <w:rFonts w:ascii="Calibri" w:eastAsia="Times New Roman" w:hAnsi="Calibri" w:cs="Calibri"/>
                <w:b/>
                <w:bCs/>
                <w:color w:val="FFFFFF"/>
              </w:rPr>
            </w:pPr>
            <w:r w:rsidRPr="00DE2329">
              <w:rPr>
                <w:rFonts w:ascii="Calibri" w:eastAsia="Times New Roman" w:hAnsi="Calibri" w:cs="Calibri"/>
                <w:b/>
                <w:bCs/>
                <w:color w:val="FFFFFF"/>
              </w:rPr>
              <w:t>Backer Count</w:t>
            </w:r>
          </w:p>
        </w:tc>
      </w:tr>
      <w:tr w:rsidR="00DE2329" w:rsidRPr="00DE2329" w14:paraId="2E43909C"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52BB51E5"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Mean</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7741B181"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18</w:t>
            </w:r>
          </w:p>
        </w:tc>
      </w:tr>
      <w:tr w:rsidR="00DE2329" w:rsidRPr="00DE2329" w14:paraId="5037829E"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10F762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Median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7933B86F"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4</w:t>
            </w:r>
          </w:p>
        </w:tc>
      </w:tr>
      <w:tr w:rsidR="00DE2329" w:rsidRPr="00DE2329" w14:paraId="62B9582D"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7C9AD0D2"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Minimum</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5A49F7EE"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0</w:t>
            </w:r>
          </w:p>
        </w:tc>
      </w:tr>
      <w:tr w:rsidR="00DE2329" w:rsidRPr="00DE2329" w14:paraId="0CAEA38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B7893B4"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Maximum</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5BC76D08"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1,293</w:t>
            </w:r>
          </w:p>
        </w:tc>
      </w:tr>
      <w:tr w:rsidR="00DE2329" w:rsidRPr="00DE2329" w14:paraId="348F4A4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22C325F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Variance</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33934A1F"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3,776</w:t>
            </w:r>
          </w:p>
        </w:tc>
      </w:tr>
      <w:tr w:rsidR="00DE2329" w:rsidRPr="00DE2329" w14:paraId="3358E344"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78203B8F"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Standard Deviation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0799D3A4"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61</w:t>
            </w:r>
          </w:p>
        </w:tc>
      </w:tr>
      <w:tr w:rsidR="00DE2329" w:rsidRPr="00DE2329" w14:paraId="5381B4C0" w14:textId="77777777" w:rsidTr="00DE2329">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74137361" w14:textId="77777777" w:rsidR="00DE2329" w:rsidRPr="00DE2329" w:rsidRDefault="00DE2329" w:rsidP="004F2D6E">
            <w:pPr>
              <w:spacing w:after="0" w:line="276" w:lineRule="auto"/>
              <w:rPr>
                <w:rFonts w:ascii="Calibri" w:eastAsia="Times New Roman" w:hAnsi="Calibri" w:cs="Calibri"/>
                <w:color w:val="000000"/>
              </w:rPr>
            </w:pPr>
            <w:r w:rsidRPr="00DE2329">
              <w:rPr>
                <w:rFonts w:ascii="Calibri" w:eastAsia="Times New Roman" w:hAnsi="Calibri" w:cs="Calibri"/>
                <w:color w:val="000000"/>
              </w:rPr>
              <w:t>Count</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293E3B9D" w14:textId="77777777" w:rsidR="00DE2329" w:rsidRPr="00DE2329" w:rsidRDefault="00DE2329" w:rsidP="004F2D6E">
            <w:pPr>
              <w:spacing w:after="0" w:line="276" w:lineRule="auto"/>
              <w:jc w:val="right"/>
              <w:rPr>
                <w:rFonts w:ascii="Calibri" w:eastAsia="Times New Roman" w:hAnsi="Calibri" w:cs="Calibri"/>
                <w:color w:val="000000"/>
              </w:rPr>
            </w:pPr>
            <w:r w:rsidRPr="00DE2329">
              <w:rPr>
                <w:rFonts w:ascii="Calibri" w:eastAsia="Times New Roman" w:hAnsi="Calibri" w:cs="Calibri"/>
                <w:color w:val="000000"/>
              </w:rPr>
              <w:t>1,530</w:t>
            </w:r>
          </w:p>
        </w:tc>
      </w:tr>
    </w:tbl>
    <w:p w14:paraId="3C4372ED" w14:textId="0C8EDFD4" w:rsidR="00B8575F" w:rsidRPr="00B8575F" w:rsidRDefault="00B8575F" w:rsidP="004F2D6E">
      <w:pPr>
        <w:spacing w:after="0" w:line="276" w:lineRule="auto"/>
        <w:rPr>
          <w:b/>
          <w:bCs/>
          <w:noProof/>
        </w:rPr>
      </w:pPr>
      <w:r>
        <w:rPr>
          <w:b/>
          <w:bCs/>
          <w:noProof/>
        </w:rPr>
        <w:t xml:space="preserve">Successful Projects </w:t>
      </w:r>
      <w:r>
        <w:rPr>
          <w:b/>
          <w:bCs/>
          <w:noProof/>
        </w:rPr>
        <w:tab/>
      </w:r>
      <w:r>
        <w:rPr>
          <w:b/>
          <w:bCs/>
          <w:noProof/>
        </w:rPr>
        <w:tab/>
      </w:r>
      <w:r>
        <w:rPr>
          <w:b/>
          <w:bCs/>
          <w:noProof/>
        </w:rPr>
        <w:tab/>
      </w:r>
      <w:r>
        <w:rPr>
          <w:b/>
          <w:bCs/>
          <w:noProof/>
        </w:rPr>
        <w:tab/>
      </w:r>
      <w:r>
        <w:rPr>
          <w:b/>
          <w:bCs/>
          <w:noProof/>
        </w:rPr>
        <w:tab/>
      </w:r>
      <w:r>
        <w:rPr>
          <w:b/>
          <w:bCs/>
          <w:noProof/>
        </w:rPr>
        <w:tab/>
      </w:r>
      <w:r>
        <w:rPr>
          <w:b/>
          <w:bCs/>
          <w:noProof/>
        </w:rPr>
        <w:tab/>
      </w:r>
      <w:r>
        <w:rPr>
          <w:b/>
          <w:bCs/>
          <w:noProof/>
        </w:rPr>
        <w:tab/>
        <w:t>Failed Projects</w:t>
      </w:r>
    </w:p>
    <w:tbl>
      <w:tblPr>
        <w:tblW w:w="3520" w:type="dxa"/>
        <w:tblLook w:val="04A0" w:firstRow="1" w:lastRow="0" w:firstColumn="1" w:lastColumn="0" w:noHBand="0" w:noVBand="1"/>
      </w:tblPr>
      <w:tblGrid>
        <w:gridCol w:w="2000"/>
        <w:gridCol w:w="1520"/>
      </w:tblGrid>
      <w:tr w:rsidR="00B8575F" w:rsidRPr="00B8575F" w14:paraId="32B0D8F2"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418AB3" w:fill="418AB3"/>
            <w:noWrap/>
            <w:vAlign w:val="bottom"/>
            <w:hideMark/>
          </w:tcPr>
          <w:p w14:paraId="78067E66" w14:textId="77777777" w:rsidR="00B8575F" w:rsidRPr="00B8575F" w:rsidRDefault="00B8575F" w:rsidP="004F2D6E">
            <w:pPr>
              <w:spacing w:after="0" w:line="276" w:lineRule="auto"/>
              <w:rPr>
                <w:rFonts w:ascii="Calibri" w:eastAsia="Times New Roman" w:hAnsi="Calibri" w:cs="Calibri"/>
                <w:b/>
                <w:bCs/>
                <w:color w:val="FFFFFF"/>
              </w:rPr>
            </w:pPr>
            <w:r w:rsidRPr="00B8575F">
              <w:rPr>
                <w:rFonts w:ascii="Calibri" w:eastAsia="Times New Roman" w:hAnsi="Calibri" w:cs="Calibri"/>
                <w:b/>
                <w:bCs/>
                <w:color w:val="FFFFFF"/>
              </w:rPr>
              <w:t>Metric</w:t>
            </w:r>
          </w:p>
        </w:tc>
        <w:tc>
          <w:tcPr>
            <w:tcW w:w="1520" w:type="dxa"/>
            <w:tcBorders>
              <w:top w:val="single" w:sz="4" w:space="0" w:color="8ABBD5"/>
              <w:left w:val="nil"/>
              <w:bottom w:val="single" w:sz="4" w:space="0" w:color="8ABBD5"/>
              <w:right w:val="single" w:sz="4" w:space="0" w:color="8ABBD5"/>
            </w:tcBorders>
            <w:shd w:val="clear" w:color="418AB3" w:fill="418AB3"/>
            <w:noWrap/>
            <w:vAlign w:val="bottom"/>
            <w:hideMark/>
          </w:tcPr>
          <w:p w14:paraId="2C2C1866" w14:textId="77777777" w:rsidR="00B8575F" w:rsidRPr="00B8575F" w:rsidRDefault="00B8575F" w:rsidP="004F2D6E">
            <w:pPr>
              <w:spacing w:after="0" w:line="276" w:lineRule="auto"/>
              <w:rPr>
                <w:rFonts w:ascii="Calibri" w:eastAsia="Times New Roman" w:hAnsi="Calibri" w:cs="Calibri"/>
                <w:b/>
                <w:bCs/>
                <w:color w:val="FFFFFF"/>
              </w:rPr>
            </w:pPr>
            <w:r w:rsidRPr="00B8575F">
              <w:rPr>
                <w:rFonts w:ascii="Calibri" w:eastAsia="Times New Roman" w:hAnsi="Calibri" w:cs="Calibri"/>
                <w:b/>
                <w:bCs/>
                <w:color w:val="FFFFFF"/>
              </w:rPr>
              <w:t>Backer Count</w:t>
            </w:r>
          </w:p>
        </w:tc>
      </w:tr>
      <w:tr w:rsidR="00B8575F" w:rsidRPr="00B8575F" w14:paraId="4FA344CD"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457F983A"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Mean</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4AFFBA84"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194</w:t>
            </w:r>
          </w:p>
        </w:tc>
      </w:tr>
      <w:tr w:rsidR="00B8575F" w:rsidRPr="00B8575F" w14:paraId="05CFF499"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45934710"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Median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3E19FB71"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62</w:t>
            </w:r>
          </w:p>
        </w:tc>
      </w:tr>
      <w:tr w:rsidR="00B8575F" w:rsidRPr="00B8575F" w14:paraId="5CB56A21"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15E73D31"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Minimum</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63234FB3"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1</w:t>
            </w:r>
          </w:p>
        </w:tc>
      </w:tr>
      <w:tr w:rsidR="00B8575F" w:rsidRPr="00B8575F" w14:paraId="086E76B8"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36B5679B"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Maximum</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68546332"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26,457</w:t>
            </w:r>
          </w:p>
        </w:tc>
      </w:tr>
      <w:tr w:rsidR="00B8575F" w:rsidRPr="00B8575F" w14:paraId="2BDE9A16"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10CD267F"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Variance</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294A8BB6"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713,167</w:t>
            </w:r>
          </w:p>
        </w:tc>
      </w:tr>
      <w:tr w:rsidR="00B8575F" w:rsidRPr="00B8575F" w14:paraId="47446135"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auto" w:fill="auto"/>
            <w:noWrap/>
            <w:vAlign w:val="bottom"/>
            <w:hideMark/>
          </w:tcPr>
          <w:p w14:paraId="15CA1716"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Standard Deviation</w:t>
            </w:r>
          </w:p>
        </w:tc>
        <w:tc>
          <w:tcPr>
            <w:tcW w:w="1520" w:type="dxa"/>
            <w:tcBorders>
              <w:top w:val="single" w:sz="4" w:space="0" w:color="8ABBD5"/>
              <w:left w:val="nil"/>
              <w:bottom w:val="single" w:sz="4" w:space="0" w:color="8ABBD5"/>
              <w:right w:val="single" w:sz="4" w:space="0" w:color="8ABBD5"/>
            </w:tcBorders>
            <w:shd w:val="clear" w:color="auto" w:fill="auto"/>
            <w:noWrap/>
            <w:vAlign w:val="bottom"/>
            <w:hideMark/>
          </w:tcPr>
          <w:p w14:paraId="04E45959"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844</w:t>
            </w:r>
          </w:p>
        </w:tc>
      </w:tr>
      <w:tr w:rsidR="00B8575F" w:rsidRPr="00B8575F" w14:paraId="66BBD421" w14:textId="77777777" w:rsidTr="00B8575F">
        <w:trPr>
          <w:trHeight w:val="288"/>
        </w:trPr>
        <w:tc>
          <w:tcPr>
            <w:tcW w:w="2000" w:type="dxa"/>
            <w:tcBorders>
              <w:top w:val="single" w:sz="4" w:space="0" w:color="8ABBD5"/>
              <w:left w:val="single" w:sz="4" w:space="0" w:color="8ABBD5"/>
              <w:bottom w:val="single" w:sz="4" w:space="0" w:color="8ABBD5"/>
              <w:right w:val="nil"/>
            </w:tcBorders>
            <w:shd w:val="clear" w:color="D8E9F1" w:fill="D8E9F1"/>
            <w:noWrap/>
            <w:vAlign w:val="bottom"/>
            <w:hideMark/>
          </w:tcPr>
          <w:p w14:paraId="2551F8BC" w14:textId="77777777" w:rsidR="00B8575F" w:rsidRPr="00B8575F" w:rsidRDefault="00B8575F" w:rsidP="004F2D6E">
            <w:pPr>
              <w:spacing w:after="0" w:line="276" w:lineRule="auto"/>
              <w:rPr>
                <w:rFonts w:ascii="Calibri" w:eastAsia="Times New Roman" w:hAnsi="Calibri" w:cs="Calibri"/>
                <w:color w:val="000000"/>
              </w:rPr>
            </w:pPr>
            <w:r w:rsidRPr="00B8575F">
              <w:rPr>
                <w:rFonts w:ascii="Calibri" w:eastAsia="Times New Roman" w:hAnsi="Calibri" w:cs="Calibri"/>
                <w:color w:val="000000"/>
              </w:rPr>
              <w:t>Count</w:t>
            </w:r>
          </w:p>
        </w:tc>
        <w:tc>
          <w:tcPr>
            <w:tcW w:w="1520" w:type="dxa"/>
            <w:tcBorders>
              <w:top w:val="single" w:sz="4" w:space="0" w:color="8ABBD5"/>
              <w:left w:val="nil"/>
              <w:bottom w:val="single" w:sz="4" w:space="0" w:color="8ABBD5"/>
              <w:right w:val="single" w:sz="4" w:space="0" w:color="8ABBD5"/>
            </w:tcBorders>
            <w:shd w:val="clear" w:color="D8E9F1" w:fill="D8E9F1"/>
            <w:noWrap/>
            <w:vAlign w:val="bottom"/>
            <w:hideMark/>
          </w:tcPr>
          <w:p w14:paraId="54C00CE7" w14:textId="77777777" w:rsidR="00B8575F" w:rsidRPr="00B8575F" w:rsidRDefault="00B8575F" w:rsidP="004F2D6E">
            <w:pPr>
              <w:spacing w:after="0" w:line="276" w:lineRule="auto"/>
              <w:jc w:val="right"/>
              <w:rPr>
                <w:rFonts w:ascii="Calibri" w:eastAsia="Times New Roman" w:hAnsi="Calibri" w:cs="Calibri"/>
                <w:color w:val="000000"/>
              </w:rPr>
            </w:pPr>
            <w:r w:rsidRPr="00B8575F">
              <w:rPr>
                <w:rFonts w:ascii="Calibri" w:eastAsia="Times New Roman" w:hAnsi="Calibri" w:cs="Calibri"/>
                <w:color w:val="000000"/>
              </w:rPr>
              <w:t>2,185</w:t>
            </w:r>
          </w:p>
        </w:tc>
      </w:tr>
    </w:tbl>
    <w:p w14:paraId="249C4E83" w14:textId="4AD74B3F" w:rsidR="00521EC6" w:rsidRDefault="005E20F8" w:rsidP="004F2D6E">
      <w:pPr>
        <w:spacing w:line="276" w:lineRule="auto"/>
      </w:pPr>
    </w:p>
    <w:sectPr w:rsidR="00521EC6" w:rsidSect="0008269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3ECA" w14:textId="77777777" w:rsidR="00B963A5" w:rsidRDefault="00B963A5" w:rsidP="00AD0560">
      <w:pPr>
        <w:spacing w:after="0" w:line="240" w:lineRule="auto"/>
      </w:pPr>
      <w:r>
        <w:separator/>
      </w:r>
    </w:p>
  </w:endnote>
  <w:endnote w:type="continuationSeparator" w:id="0">
    <w:p w14:paraId="7BB3A5C0" w14:textId="77777777" w:rsidR="00B963A5" w:rsidRDefault="00B963A5" w:rsidP="00AD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0765492"/>
      <w:docPartObj>
        <w:docPartGallery w:val="Page Numbers (Bottom of Page)"/>
        <w:docPartUnique/>
      </w:docPartObj>
    </w:sdtPr>
    <w:sdtEndPr>
      <w:rPr>
        <w:noProof/>
      </w:rPr>
    </w:sdtEndPr>
    <w:sdtContent>
      <w:p w14:paraId="6BE86AB4" w14:textId="4A400BDD" w:rsidR="00F15464" w:rsidRDefault="00F15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5EE47A" w14:textId="77777777" w:rsidR="00F15464" w:rsidRDefault="00F1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A15D0" w14:textId="77777777" w:rsidR="00B963A5" w:rsidRDefault="00B963A5" w:rsidP="00AD0560">
      <w:pPr>
        <w:spacing w:after="0" w:line="240" w:lineRule="auto"/>
      </w:pPr>
      <w:r>
        <w:separator/>
      </w:r>
    </w:p>
  </w:footnote>
  <w:footnote w:type="continuationSeparator" w:id="0">
    <w:p w14:paraId="17312586" w14:textId="77777777" w:rsidR="00B963A5" w:rsidRDefault="00B963A5" w:rsidP="00AD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A9016" w14:textId="4C0F4828" w:rsidR="00AD0560" w:rsidRDefault="00692BC2">
    <w:pPr>
      <w:pStyle w:val="Header"/>
    </w:pPr>
    <w:r>
      <w:t>Kickstarter Data Analysis</w:t>
    </w:r>
    <w:r>
      <w:tab/>
    </w:r>
    <w:r>
      <w:tab/>
      <w:t>Faith Lierheimer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B68"/>
    <w:multiLevelType w:val="hybridMultilevel"/>
    <w:tmpl w:val="E0F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9E"/>
    <w:rsid w:val="00001272"/>
    <w:rsid w:val="0002467B"/>
    <w:rsid w:val="000278B9"/>
    <w:rsid w:val="0008269E"/>
    <w:rsid w:val="000A6437"/>
    <w:rsid w:val="000D123F"/>
    <w:rsid w:val="001E118C"/>
    <w:rsid w:val="002214CA"/>
    <w:rsid w:val="00240A5E"/>
    <w:rsid w:val="00293A39"/>
    <w:rsid w:val="002A3238"/>
    <w:rsid w:val="00313211"/>
    <w:rsid w:val="003E18B2"/>
    <w:rsid w:val="00460023"/>
    <w:rsid w:val="004F2D6E"/>
    <w:rsid w:val="00533902"/>
    <w:rsid w:val="00536D15"/>
    <w:rsid w:val="00584A04"/>
    <w:rsid w:val="005F2992"/>
    <w:rsid w:val="00615124"/>
    <w:rsid w:val="00644307"/>
    <w:rsid w:val="006535DD"/>
    <w:rsid w:val="006648F6"/>
    <w:rsid w:val="0069247E"/>
    <w:rsid w:val="00692BC2"/>
    <w:rsid w:val="006E015E"/>
    <w:rsid w:val="006E3A87"/>
    <w:rsid w:val="006F4AC8"/>
    <w:rsid w:val="00717AC0"/>
    <w:rsid w:val="00742AC3"/>
    <w:rsid w:val="00773036"/>
    <w:rsid w:val="00786455"/>
    <w:rsid w:val="007920F0"/>
    <w:rsid w:val="007A01D8"/>
    <w:rsid w:val="007D3240"/>
    <w:rsid w:val="007E48CE"/>
    <w:rsid w:val="00852E7E"/>
    <w:rsid w:val="00884E34"/>
    <w:rsid w:val="00A80EE9"/>
    <w:rsid w:val="00A82ABD"/>
    <w:rsid w:val="00AD0560"/>
    <w:rsid w:val="00AD0FE3"/>
    <w:rsid w:val="00B227F1"/>
    <w:rsid w:val="00B8575F"/>
    <w:rsid w:val="00B963A5"/>
    <w:rsid w:val="00BF58BB"/>
    <w:rsid w:val="00CD5DC4"/>
    <w:rsid w:val="00D027D3"/>
    <w:rsid w:val="00D41590"/>
    <w:rsid w:val="00D8075C"/>
    <w:rsid w:val="00D86514"/>
    <w:rsid w:val="00DC4A20"/>
    <w:rsid w:val="00DE2329"/>
    <w:rsid w:val="00E05561"/>
    <w:rsid w:val="00E07E18"/>
    <w:rsid w:val="00E13919"/>
    <w:rsid w:val="00E3218A"/>
    <w:rsid w:val="00F15464"/>
    <w:rsid w:val="00F267E5"/>
    <w:rsid w:val="00F74CC9"/>
    <w:rsid w:val="00F95DBA"/>
    <w:rsid w:val="00FE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7F08"/>
  <w15:chartTrackingRefBased/>
  <w15:docId w15:val="{8E77C140-FE86-4AF6-80DA-86590C12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23"/>
    <w:pPr>
      <w:ind w:left="720"/>
      <w:contextualSpacing/>
    </w:pPr>
  </w:style>
  <w:style w:type="paragraph" w:styleId="Header">
    <w:name w:val="header"/>
    <w:basedOn w:val="Normal"/>
    <w:link w:val="HeaderChar"/>
    <w:uiPriority w:val="99"/>
    <w:unhideWhenUsed/>
    <w:rsid w:val="00AD0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60"/>
  </w:style>
  <w:style w:type="paragraph" w:styleId="Footer">
    <w:name w:val="footer"/>
    <w:basedOn w:val="Normal"/>
    <w:link w:val="FooterChar"/>
    <w:uiPriority w:val="99"/>
    <w:unhideWhenUsed/>
    <w:rsid w:val="00AD0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979217">
      <w:bodyDiv w:val="1"/>
      <w:marLeft w:val="0"/>
      <w:marRight w:val="0"/>
      <w:marTop w:val="0"/>
      <w:marBottom w:val="0"/>
      <w:divBdr>
        <w:top w:val="none" w:sz="0" w:space="0" w:color="auto"/>
        <w:left w:val="none" w:sz="0" w:space="0" w:color="auto"/>
        <w:bottom w:val="none" w:sz="0" w:space="0" w:color="auto"/>
        <w:right w:val="none" w:sz="0" w:space="0" w:color="auto"/>
      </w:divBdr>
    </w:div>
    <w:div w:id="206058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lier\Downloads\excel-hw-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[excel-hw-1.xlsx]status_pivot_by_category!status by category</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t>Kickstarter</a:t>
            </a:r>
            <a:r>
              <a:rPr lang="en-US" sz="1600" b="1" baseline="0"/>
              <a:t> Project Status by Category</a:t>
            </a:r>
            <a:endParaRPr lang="en-US" sz="1600" b="1"/>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status_pivot_by_category!$B$3:$B$4</c:f>
              <c:strCache>
                <c:ptCount val="1"/>
                <c:pt idx="0">
                  <c:v>successful</c:v>
                </c:pt>
              </c:strCache>
            </c:strRef>
          </c:tx>
          <c:spPr>
            <a:solidFill>
              <a:schemeClr val="accent1"/>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status_pivot_by_category!$B$5:$B$14</c:f>
              <c:numCache>
                <c:formatCode>General</c:formatCode>
                <c:ptCount val="9"/>
                <c:pt idx="0">
                  <c:v>839</c:v>
                </c:pt>
                <c:pt idx="1">
                  <c:v>540</c:v>
                </c:pt>
                <c:pt idx="2">
                  <c:v>300</c:v>
                </c:pt>
                <c:pt idx="3">
                  <c:v>209</c:v>
                </c:pt>
                <c:pt idx="4">
                  <c:v>103</c:v>
                </c:pt>
                <c:pt idx="5">
                  <c:v>80</c:v>
                </c:pt>
                <c:pt idx="6">
                  <c:v>80</c:v>
                </c:pt>
                <c:pt idx="7">
                  <c:v>34</c:v>
                </c:pt>
              </c:numCache>
            </c:numRef>
          </c:val>
          <c:extLst>
            <c:ext xmlns:c16="http://schemas.microsoft.com/office/drawing/2014/chart" uri="{C3380CC4-5D6E-409C-BE32-E72D297353CC}">
              <c16:uniqueId val="{00000000-9AF1-4012-B343-88941340E85A}"/>
            </c:ext>
          </c:extLst>
        </c:ser>
        <c:ser>
          <c:idx val="1"/>
          <c:order val="1"/>
          <c:tx>
            <c:strRef>
              <c:f>status_pivot_by_category!$C$3:$C$4</c:f>
              <c:strCache>
                <c:ptCount val="1"/>
                <c:pt idx="0">
                  <c:v>live</c:v>
                </c:pt>
              </c:strCache>
            </c:strRef>
          </c:tx>
          <c:spPr>
            <a:solidFill>
              <a:schemeClr val="accent2"/>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status_pivot_by_category!$C$5:$C$14</c:f>
              <c:numCache>
                <c:formatCode>General</c:formatCode>
                <c:ptCount val="9"/>
                <c:pt idx="0">
                  <c:v>24</c:v>
                </c:pt>
                <c:pt idx="1">
                  <c:v>20</c:v>
                </c:pt>
                <c:pt idx="7">
                  <c:v>6</c:v>
                </c:pt>
              </c:numCache>
            </c:numRef>
          </c:val>
          <c:extLst>
            <c:ext xmlns:c16="http://schemas.microsoft.com/office/drawing/2014/chart" uri="{C3380CC4-5D6E-409C-BE32-E72D297353CC}">
              <c16:uniqueId val="{00000001-9AF1-4012-B343-88941340E85A}"/>
            </c:ext>
          </c:extLst>
        </c:ser>
        <c:ser>
          <c:idx val="2"/>
          <c:order val="2"/>
          <c:tx>
            <c:strRef>
              <c:f>status_pivot_by_category!$D$3:$D$4</c:f>
              <c:strCache>
                <c:ptCount val="1"/>
                <c:pt idx="0">
                  <c:v>failed</c:v>
                </c:pt>
              </c:strCache>
            </c:strRef>
          </c:tx>
          <c:spPr>
            <a:solidFill>
              <a:schemeClr val="accent3"/>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status_pivot_by_category!$D$5:$D$14</c:f>
              <c:numCache>
                <c:formatCode>General</c:formatCode>
                <c:ptCount val="9"/>
                <c:pt idx="0">
                  <c:v>493</c:v>
                </c:pt>
                <c:pt idx="1">
                  <c:v>120</c:v>
                </c:pt>
                <c:pt idx="2">
                  <c:v>180</c:v>
                </c:pt>
                <c:pt idx="3">
                  <c:v>213</c:v>
                </c:pt>
                <c:pt idx="4">
                  <c:v>117</c:v>
                </c:pt>
                <c:pt idx="5">
                  <c:v>140</c:v>
                </c:pt>
                <c:pt idx="6">
                  <c:v>127</c:v>
                </c:pt>
                <c:pt idx="7">
                  <c:v>140</c:v>
                </c:pt>
              </c:numCache>
            </c:numRef>
          </c:val>
          <c:extLst>
            <c:ext xmlns:c16="http://schemas.microsoft.com/office/drawing/2014/chart" uri="{C3380CC4-5D6E-409C-BE32-E72D297353CC}">
              <c16:uniqueId val="{00000002-9AF1-4012-B343-88941340E85A}"/>
            </c:ext>
          </c:extLst>
        </c:ser>
        <c:ser>
          <c:idx val="3"/>
          <c:order val="3"/>
          <c:tx>
            <c:strRef>
              <c:f>status_pivot_by_category!$E$3:$E$4</c:f>
              <c:strCache>
                <c:ptCount val="1"/>
                <c:pt idx="0">
                  <c:v>canceled</c:v>
                </c:pt>
              </c:strCache>
            </c:strRef>
          </c:tx>
          <c:spPr>
            <a:solidFill>
              <a:schemeClr val="accent4"/>
            </a:solidFill>
            <a:ln>
              <a:noFill/>
            </a:ln>
            <a:effectLst/>
          </c:spPr>
          <c:invertIfNegative val="0"/>
          <c:cat>
            <c:strRef>
              <c:f>status_pivot_by_category!$A$5:$A$14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status_pivot_by_category!$E$5:$E$14</c:f>
              <c:numCache>
                <c:formatCode>General</c:formatCode>
                <c:ptCount val="9"/>
                <c:pt idx="0">
                  <c:v>37</c:v>
                </c:pt>
                <c:pt idx="1">
                  <c:v>20</c:v>
                </c:pt>
                <c:pt idx="2">
                  <c:v>40</c:v>
                </c:pt>
                <c:pt idx="3">
                  <c:v>178</c:v>
                </c:pt>
                <c:pt idx="6">
                  <c:v>30</c:v>
                </c:pt>
                <c:pt idx="7">
                  <c:v>20</c:v>
                </c:pt>
                <c:pt idx="8">
                  <c:v>24</c:v>
                </c:pt>
              </c:numCache>
            </c:numRef>
          </c:val>
          <c:extLst>
            <c:ext xmlns:c16="http://schemas.microsoft.com/office/drawing/2014/chart" uri="{C3380CC4-5D6E-409C-BE32-E72D297353CC}">
              <c16:uniqueId val="{00000003-9AF1-4012-B343-88941340E85A}"/>
            </c:ext>
          </c:extLst>
        </c:ser>
        <c:dLbls>
          <c:showLegendKey val="0"/>
          <c:showVal val="0"/>
          <c:showCatName val="0"/>
          <c:showSerName val="0"/>
          <c:showPercent val="0"/>
          <c:showBubbleSize val="0"/>
        </c:dLbls>
        <c:gapWidth val="150"/>
        <c:overlap val="100"/>
        <c:axId val="1449628111"/>
        <c:axId val="1436962623"/>
      </c:barChart>
      <c:catAx>
        <c:axId val="144962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36962623"/>
        <c:crosses val="autoZero"/>
        <c:auto val="1"/>
        <c:lblAlgn val="ctr"/>
        <c:lblOffset val="100"/>
        <c:noMultiLvlLbl val="0"/>
      </c:catAx>
      <c:valAx>
        <c:axId val="14369626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49628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[excel-hw-1.xlsx]status_pivot_by_subcategory!status by subcategory</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 Project Status by Sub-Category</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status_pivot_by_subcategory!$B$7:$B$8</c:f>
              <c:strCache>
                <c:ptCount val="1"/>
                <c:pt idx="0">
                  <c:v>successful</c:v>
                </c:pt>
              </c:strCache>
            </c:strRef>
          </c:tx>
          <c:spPr>
            <a:solidFill>
              <a:schemeClr val="accent1"/>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status_pivot_by_subcategory!$B$9:$B$50</c:f>
              <c:numCache>
                <c:formatCode>General</c:formatCode>
                <c:ptCount val="41"/>
                <c:pt idx="0">
                  <c:v>694</c:v>
                </c:pt>
                <c:pt idx="1">
                  <c:v>260</c:v>
                </c:pt>
                <c:pt idx="2">
                  <c:v>180</c:v>
                </c:pt>
                <c:pt idx="3">
                  <c:v>140</c:v>
                </c:pt>
                <c:pt idx="4">
                  <c:v>140</c:v>
                </c:pt>
                <c:pt idx="5">
                  <c:v>103</c:v>
                </c:pt>
                <c:pt idx="6">
                  <c:v>85</c:v>
                </c:pt>
                <c:pt idx="7">
                  <c:v>80</c:v>
                </c:pt>
                <c:pt idx="8">
                  <c:v>60</c:v>
                </c:pt>
                <c:pt idx="9">
                  <c:v>60</c:v>
                </c:pt>
                <c:pt idx="10">
                  <c:v>60</c:v>
                </c:pt>
                <c:pt idx="11">
                  <c:v>60</c:v>
                </c:pt>
                <c:pt idx="12">
                  <c:v>40</c:v>
                </c:pt>
                <c:pt idx="13">
                  <c:v>40</c:v>
                </c:pt>
                <c:pt idx="14">
                  <c:v>40</c:v>
                </c:pt>
                <c:pt idx="15">
                  <c:v>40</c:v>
                </c:pt>
                <c:pt idx="16">
                  <c:v>34</c:v>
                </c:pt>
                <c:pt idx="17">
                  <c:v>20</c:v>
                </c:pt>
                <c:pt idx="18">
                  <c:v>20</c:v>
                </c:pt>
                <c:pt idx="19">
                  <c:v>20</c:v>
                </c:pt>
                <c:pt idx="20">
                  <c:v>9</c:v>
                </c:pt>
              </c:numCache>
            </c:numRef>
          </c:val>
          <c:extLst>
            <c:ext xmlns:c16="http://schemas.microsoft.com/office/drawing/2014/chart" uri="{C3380CC4-5D6E-409C-BE32-E72D297353CC}">
              <c16:uniqueId val="{00000000-9AC5-4F32-A79A-5FA2E5D57A1A}"/>
            </c:ext>
          </c:extLst>
        </c:ser>
        <c:ser>
          <c:idx val="1"/>
          <c:order val="1"/>
          <c:tx>
            <c:strRef>
              <c:f>status_pivot_by_subcategory!$C$7:$C$8</c:f>
              <c:strCache>
                <c:ptCount val="1"/>
                <c:pt idx="0">
                  <c:v>live</c:v>
                </c:pt>
              </c:strCache>
            </c:strRef>
          </c:tx>
          <c:spPr>
            <a:solidFill>
              <a:schemeClr val="accent2"/>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status_pivot_by_subcategory!$C$9:$C$50</c:f>
              <c:numCache>
                <c:formatCode>General</c:formatCode>
                <c:ptCount val="41"/>
                <c:pt idx="0">
                  <c:v>19</c:v>
                </c:pt>
                <c:pt idx="6">
                  <c:v>5</c:v>
                </c:pt>
                <c:pt idx="16">
                  <c:v>6</c:v>
                </c:pt>
                <c:pt idx="40">
                  <c:v>20</c:v>
                </c:pt>
              </c:numCache>
            </c:numRef>
          </c:val>
          <c:extLst>
            <c:ext xmlns:c16="http://schemas.microsoft.com/office/drawing/2014/chart" uri="{C3380CC4-5D6E-409C-BE32-E72D297353CC}">
              <c16:uniqueId val="{00000001-9AC5-4F32-A79A-5FA2E5D57A1A}"/>
            </c:ext>
          </c:extLst>
        </c:ser>
        <c:ser>
          <c:idx val="2"/>
          <c:order val="2"/>
          <c:tx>
            <c:strRef>
              <c:f>status_pivot_by_subcategory!$D$7:$D$8</c:f>
              <c:strCache>
                <c:ptCount val="1"/>
                <c:pt idx="0">
                  <c:v>failed</c:v>
                </c:pt>
              </c:strCache>
            </c:strRef>
          </c:tx>
          <c:spPr>
            <a:solidFill>
              <a:schemeClr val="accent3"/>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status_pivot_by_subcategory!$D$9:$D$50</c:f>
              <c:numCache>
                <c:formatCode>General</c:formatCode>
                <c:ptCount val="41"/>
                <c:pt idx="0">
                  <c:v>353</c:v>
                </c:pt>
                <c:pt idx="3">
                  <c:v>20</c:v>
                </c:pt>
                <c:pt idx="5">
                  <c:v>57</c:v>
                </c:pt>
                <c:pt idx="6">
                  <c:v>80</c:v>
                </c:pt>
                <c:pt idx="8">
                  <c:v>60</c:v>
                </c:pt>
                <c:pt idx="12">
                  <c:v>2</c:v>
                </c:pt>
                <c:pt idx="17">
                  <c:v>120</c:v>
                </c:pt>
                <c:pt idx="20">
                  <c:v>11</c:v>
                </c:pt>
                <c:pt idx="21">
                  <c:v>100</c:v>
                </c:pt>
                <c:pt idx="22">
                  <c:v>20</c:v>
                </c:pt>
                <c:pt idx="23">
                  <c:v>100</c:v>
                </c:pt>
                <c:pt idx="25">
                  <c:v>20</c:v>
                </c:pt>
                <c:pt idx="26">
                  <c:v>20</c:v>
                </c:pt>
                <c:pt idx="27">
                  <c:v>60</c:v>
                </c:pt>
                <c:pt idx="28">
                  <c:v>80</c:v>
                </c:pt>
                <c:pt idx="29">
                  <c:v>40</c:v>
                </c:pt>
                <c:pt idx="30">
                  <c:v>60</c:v>
                </c:pt>
                <c:pt idx="31">
                  <c:v>40</c:v>
                </c:pt>
                <c:pt idx="32">
                  <c:v>120</c:v>
                </c:pt>
                <c:pt idx="34">
                  <c:v>47</c:v>
                </c:pt>
                <c:pt idx="35">
                  <c:v>20</c:v>
                </c:pt>
                <c:pt idx="36">
                  <c:v>20</c:v>
                </c:pt>
                <c:pt idx="37">
                  <c:v>40</c:v>
                </c:pt>
                <c:pt idx="40">
                  <c:v>40</c:v>
                </c:pt>
              </c:numCache>
            </c:numRef>
          </c:val>
          <c:extLst>
            <c:ext xmlns:c16="http://schemas.microsoft.com/office/drawing/2014/chart" uri="{C3380CC4-5D6E-409C-BE32-E72D297353CC}">
              <c16:uniqueId val="{00000002-9AC5-4F32-A79A-5FA2E5D57A1A}"/>
            </c:ext>
          </c:extLst>
        </c:ser>
        <c:ser>
          <c:idx val="3"/>
          <c:order val="3"/>
          <c:tx>
            <c:strRef>
              <c:f>status_pivot_by_subcategory!$E$7:$E$8</c:f>
              <c:strCache>
                <c:ptCount val="1"/>
                <c:pt idx="0">
                  <c:v>canceled</c:v>
                </c:pt>
              </c:strCache>
            </c:strRef>
          </c:tx>
          <c:spPr>
            <a:solidFill>
              <a:schemeClr val="accent4"/>
            </a:solidFill>
            <a:ln>
              <a:noFill/>
            </a:ln>
            <a:effectLst/>
          </c:spPr>
          <c:invertIfNegative val="0"/>
          <c:cat>
            <c:strRef>
              <c:f>status_pivot_by_subcategory!$A$9:$A$50</c:f>
              <c:strCache>
                <c:ptCount val="41"/>
                <c:pt idx="0">
                  <c:v>plays</c:v>
                </c:pt>
                <c:pt idx="1">
                  <c:v>rock</c:v>
                </c:pt>
                <c:pt idx="2">
                  <c:v>documentary</c:v>
                </c:pt>
                <c:pt idx="3">
                  <c:v>indie rock</c:v>
                </c:pt>
                <c:pt idx="4">
                  <c:v>hardware</c:v>
                </c:pt>
                <c:pt idx="5">
                  <c:v>photobooks</c:v>
                </c:pt>
                <c:pt idx="6">
                  <c:v>spaces</c:v>
                </c:pt>
                <c:pt idx="7">
                  <c:v>tabletop games</c:v>
                </c:pt>
                <c:pt idx="8">
                  <c:v>musical</c:v>
                </c:pt>
                <c:pt idx="9">
                  <c:v>television</c:v>
                </c:pt>
                <c:pt idx="10">
                  <c:v>shorts</c:v>
                </c:pt>
                <c:pt idx="11">
                  <c:v>nonfiction</c:v>
                </c:pt>
                <c:pt idx="12">
                  <c:v>space exploration</c:v>
                </c:pt>
                <c:pt idx="13">
                  <c:v>electronic music</c:v>
                </c:pt>
                <c:pt idx="14">
                  <c:v>classical music</c:v>
                </c:pt>
                <c:pt idx="15">
                  <c:v>pop</c:v>
                </c:pt>
                <c:pt idx="16">
                  <c:v>small batch</c:v>
                </c:pt>
                <c:pt idx="17">
                  <c:v>wearables</c:v>
                </c:pt>
                <c:pt idx="18">
                  <c:v>metal</c:v>
                </c:pt>
                <c:pt idx="19">
                  <c:v>radio &amp; podcasts</c:v>
                </c:pt>
                <c:pt idx="20">
                  <c:v>makerspaces</c:v>
                </c:pt>
                <c:pt idx="21">
                  <c:v>video games</c:v>
                </c:pt>
                <c:pt idx="22">
                  <c:v>people</c:v>
                </c:pt>
                <c:pt idx="23">
                  <c:v>animation</c:v>
                </c:pt>
                <c:pt idx="24">
                  <c:v>art books</c:v>
                </c:pt>
                <c:pt idx="25">
                  <c:v>gadgets</c:v>
                </c:pt>
                <c:pt idx="26">
                  <c:v>places</c:v>
                </c:pt>
                <c:pt idx="27">
                  <c:v>web</c:v>
                </c:pt>
                <c:pt idx="28">
                  <c:v>drama</c:v>
                </c:pt>
                <c:pt idx="29">
                  <c:v>mobile games</c:v>
                </c:pt>
                <c:pt idx="30">
                  <c:v>jazz</c:v>
                </c:pt>
                <c:pt idx="31">
                  <c:v>fiction</c:v>
                </c:pt>
                <c:pt idx="32">
                  <c:v>food trucks</c:v>
                </c:pt>
                <c:pt idx="33">
                  <c:v>audio</c:v>
                </c:pt>
                <c:pt idx="34">
                  <c:v>translations</c:v>
                </c:pt>
                <c:pt idx="35">
                  <c:v>restaurants</c:v>
                </c:pt>
                <c:pt idx="36">
                  <c:v>nature</c:v>
                </c:pt>
                <c:pt idx="37">
                  <c:v>children's books</c:v>
                </c:pt>
                <c:pt idx="38">
                  <c:v>world music</c:v>
                </c:pt>
                <c:pt idx="39">
                  <c:v>science fiction</c:v>
                </c:pt>
                <c:pt idx="40">
                  <c:v>faith</c:v>
                </c:pt>
              </c:strCache>
            </c:strRef>
          </c:cat>
          <c:val>
            <c:numRef>
              <c:f>status_pivot_by_subcategory!$E$9:$E$50</c:f>
              <c:numCache>
                <c:formatCode>General</c:formatCode>
                <c:ptCount val="41"/>
                <c:pt idx="6">
                  <c:v>17</c:v>
                </c:pt>
                <c:pt idx="8">
                  <c:v>20</c:v>
                </c:pt>
                <c:pt idx="12">
                  <c:v>18</c:v>
                </c:pt>
                <c:pt idx="17">
                  <c:v>60</c:v>
                </c:pt>
                <c:pt idx="24">
                  <c:v>20</c:v>
                </c:pt>
                <c:pt idx="27">
                  <c:v>100</c:v>
                </c:pt>
                <c:pt idx="32">
                  <c:v>20</c:v>
                </c:pt>
                <c:pt idx="33">
                  <c:v>24</c:v>
                </c:pt>
                <c:pt idx="34">
                  <c:v>10</c:v>
                </c:pt>
                <c:pt idx="38">
                  <c:v>20</c:v>
                </c:pt>
                <c:pt idx="39">
                  <c:v>40</c:v>
                </c:pt>
              </c:numCache>
            </c:numRef>
          </c:val>
          <c:extLst>
            <c:ext xmlns:c16="http://schemas.microsoft.com/office/drawing/2014/chart" uri="{C3380CC4-5D6E-409C-BE32-E72D297353CC}">
              <c16:uniqueId val="{00000003-9AC5-4F32-A79A-5FA2E5D57A1A}"/>
            </c:ext>
          </c:extLst>
        </c:ser>
        <c:dLbls>
          <c:showLegendKey val="0"/>
          <c:showVal val="0"/>
          <c:showCatName val="0"/>
          <c:showSerName val="0"/>
          <c:showPercent val="0"/>
          <c:showBubbleSize val="0"/>
        </c:dLbls>
        <c:gapWidth val="150"/>
        <c:overlap val="100"/>
        <c:axId val="1854194271"/>
        <c:axId val="1882042911"/>
      </c:barChart>
      <c:catAx>
        <c:axId val="185419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882042911"/>
        <c:crosses val="autoZero"/>
        <c:auto val="1"/>
        <c:lblAlgn val="ctr"/>
        <c:lblOffset val="100"/>
        <c:noMultiLvlLbl val="0"/>
      </c:catAx>
      <c:valAx>
        <c:axId val="18820429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8541942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[excel-hw-1.xlsx]status_pivot_over_time!status_over_time</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 Project Status by Month</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status_pivot_over_time!$B$4:$B$5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000-4D0B-A306-FB5985B49EF9}"/>
            </c:ext>
          </c:extLst>
        </c:ser>
        <c:ser>
          <c:idx val="1"/>
          <c:order val="1"/>
          <c:tx>
            <c:strRef>
              <c:f>status_pivot_over_time!$C$4:$C$5</c:f>
              <c:strCache>
                <c:ptCount val="1"/>
                <c:pt idx="0">
                  <c:v>failed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000-4D0B-A306-FB5985B49EF9}"/>
            </c:ext>
          </c:extLst>
        </c:ser>
        <c:ser>
          <c:idx val="2"/>
          <c:order val="2"/>
          <c:tx>
            <c:strRef>
              <c:f>status_pivot_over_time!$D$4:$D$5</c:f>
              <c:strCache>
                <c:ptCount val="1"/>
                <c:pt idx="0">
                  <c:v>canceled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status_pivot_over_time!$A$6:$A$18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status_pivot_over_time!$D$6:$D$18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9000-4D0B-A306-FB5985B49EF9}"/>
            </c:ext>
          </c:extLst>
        </c:ser>
        <c:dLbls>
          <c:showLegendKey val="0"/>
          <c:showVal val="0"/>
          <c:showCatName val="0"/>
          <c:showSerName val="0"/>
          <c:showPercent val="0"/>
          <c:showBubbleSize val="0"/>
        </c:dLbls>
        <c:marker val="1"/>
        <c:smooth val="0"/>
        <c:axId val="1451215087"/>
        <c:axId val="1574404783"/>
      </c:lineChart>
      <c:catAx>
        <c:axId val="145121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574404783"/>
        <c:crosses val="autoZero"/>
        <c:auto val="1"/>
        <c:lblAlgn val="ctr"/>
        <c:lblOffset val="100"/>
        <c:noMultiLvlLbl val="0"/>
      </c:catAx>
      <c:valAx>
        <c:axId val="15744047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451215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70C0"/>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Kickstarter</a:t>
            </a:r>
            <a:r>
              <a:rPr lang="en-US" sz="1600" baseline="0"/>
              <a:t> Outcomes Based on Goal Range</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Bonus!$D$1</c:f>
              <c:strCache>
                <c:ptCount val="1"/>
                <c:pt idx="0">
                  <c:v>Percentage Successful</c:v>
                </c:pt>
              </c:strCache>
            </c:strRef>
          </c:tx>
          <c:spPr>
            <a:ln w="28575" cap="rnd">
              <a:solidFill>
                <a:schemeClr val="accent2"/>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Bonus!$D$2:$D$13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695-4425-BB2B-19C731AE248D}"/>
            </c:ext>
          </c:extLst>
        </c:ser>
        <c:ser>
          <c:idx val="1"/>
          <c:order val="1"/>
          <c:tx>
            <c:strRef>
              <c:f>Bonus!$E$1</c:f>
              <c:strCache>
                <c:ptCount val="1"/>
                <c:pt idx="0">
                  <c:v>Percentage Failed </c:v>
                </c:pt>
              </c:strCache>
            </c:strRef>
          </c:tx>
          <c:spPr>
            <a:ln w="28575" cap="rnd">
              <a:solidFill>
                <a:schemeClr val="accent4"/>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Bonus!$E$2:$E$13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695-4425-BB2B-19C731AE248D}"/>
            </c:ext>
          </c:extLst>
        </c:ser>
        <c:ser>
          <c:idx val="2"/>
          <c:order val="2"/>
          <c:tx>
            <c:strRef>
              <c:f>Bonus!$F$1</c:f>
              <c:strCache>
                <c:ptCount val="1"/>
                <c:pt idx="0">
                  <c:v>Percentage Canceled</c:v>
                </c:pt>
              </c:strCache>
            </c:strRef>
          </c:tx>
          <c:spPr>
            <a:ln w="28575" cap="rnd">
              <a:solidFill>
                <a:schemeClr val="accent6"/>
              </a:solidFill>
              <a:round/>
            </a:ln>
            <a:effectLst/>
          </c:spPr>
          <c:marker>
            <c:symbol val="none"/>
          </c:marker>
          <c:cat>
            <c:strRef>
              <c:f>Bonus!$C$2:$C$13</c:f>
              <c:strCache>
                <c:ptCount val="12"/>
                <c:pt idx="0">
                  <c:v>Less than 1000</c:v>
                </c:pt>
                <c:pt idx="1">
                  <c:v>1000 to 4999</c:v>
                </c:pt>
                <c:pt idx="2">
                  <c:v>5000 to 9999</c:v>
                </c:pt>
                <c:pt idx="3">
                  <c:v>10000 to 14999</c:v>
                </c:pt>
                <c:pt idx="4">
                  <c:v>15000 to 19999</c:v>
                </c:pt>
                <c:pt idx="5">
                  <c:v>20000 to 24999</c:v>
                </c:pt>
                <c:pt idx="6">
                  <c:v>25000 to 29999</c:v>
                </c:pt>
                <c:pt idx="7">
                  <c:v>30000 to 349999</c:v>
                </c:pt>
                <c:pt idx="8">
                  <c:v>35000 to 39999</c:v>
                </c:pt>
                <c:pt idx="9">
                  <c:v>40000 to 44999</c:v>
                </c:pt>
                <c:pt idx="10">
                  <c:v>45000 to 49999</c:v>
                </c:pt>
                <c:pt idx="11">
                  <c:v>Greater than or equal to 50000</c:v>
                </c:pt>
              </c:strCache>
            </c:strRef>
          </c:cat>
          <c:val>
            <c:numRef>
              <c:f>Bonus!$F$2:$F$13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695-4425-BB2B-19C731AE248D}"/>
            </c:ext>
          </c:extLst>
        </c:ser>
        <c:dLbls>
          <c:showLegendKey val="0"/>
          <c:showVal val="0"/>
          <c:showCatName val="0"/>
          <c:showSerName val="0"/>
          <c:showPercent val="0"/>
          <c:showBubbleSize val="0"/>
        </c:dLbls>
        <c:smooth val="0"/>
        <c:axId val="1347861167"/>
        <c:axId val="1004528655"/>
      </c:lineChart>
      <c:catAx>
        <c:axId val="1347861167"/>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Financial Goal Range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04528655"/>
        <c:crosses val="autoZero"/>
        <c:auto val="1"/>
        <c:lblAlgn val="ctr"/>
        <c:lblOffset val="100"/>
        <c:noMultiLvlLbl val="0"/>
      </c:catAx>
      <c:valAx>
        <c:axId val="100452865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347861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Lierheimer</dc:creator>
  <cp:keywords/>
  <dc:description/>
  <cp:lastModifiedBy>Faith Lierheimer</cp:lastModifiedBy>
  <cp:revision>60</cp:revision>
  <dcterms:created xsi:type="dcterms:W3CDTF">2020-06-10T18:18:00Z</dcterms:created>
  <dcterms:modified xsi:type="dcterms:W3CDTF">2020-06-13T17:19:00Z</dcterms:modified>
</cp:coreProperties>
</file>