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B27E4" w14:textId="36C48700" w:rsidR="00C46D09" w:rsidRPr="00C46D09" w:rsidRDefault="00C46D09" w:rsidP="00C46D09">
      <w:pPr>
        <w:spacing w:line="480" w:lineRule="auto"/>
        <w:jc w:val="center"/>
        <w:rPr>
          <w:rFonts w:ascii="Calibri" w:hAnsi="Calibri" w:cs="Calibri"/>
          <w:b/>
          <w:bCs/>
          <w:sz w:val="24"/>
          <w:szCs w:val="24"/>
        </w:rPr>
      </w:pPr>
      <w:r w:rsidRPr="00C46D09">
        <w:rPr>
          <w:rFonts w:ascii="Calibri" w:hAnsi="Calibri" w:cs="Calibri"/>
          <w:b/>
          <w:bCs/>
          <w:sz w:val="24"/>
          <w:szCs w:val="24"/>
        </w:rPr>
        <w:t>Compliance</w:t>
      </w:r>
    </w:p>
    <w:p w14:paraId="6836C3D7" w14:textId="7A4A7583" w:rsidR="000211DE" w:rsidRPr="00C46D09" w:rsidRDefault="000211DE" w:rsidP="00C46D09">
      <w:pPr>
        <w:spacing w:line="480" w:lineRule="auto"/>
        <w:rPr>
          <w:rFonts w:ascii="Calibri" w:hAnsi="Calibri" w:cs="Calibri"/>
          <w:sz w:val="24"/>
          <w:szCs w:val="24"/>
        </w:rPr>
      </w:pPr>
      <w:r w:rsidRPr="000211DE">
        <w:rPr>
          <w:rFonts w:ascii="Calibri" w:hAnsi="Calibri" w:cs="Calibri"/>
          <w:sz w:val="24"/>
          <w:szCs w:val="24"/>
        </w:rPr>
        <w:t>Compliance and monitoring are critical concerns for organizations operating in regulated industries. This paper examines two case studies that highlight key considerations around implementing compliance and telemetry systems. The first case study, "Providing Compliance in Regulated Environments," emphasizes the importance of compliance management software and cross-functional collaboration. The second, "Relying on Production Telemetry for ATM Systems," demonstrates how telemetry data can enhance system reliability and performance monitoring.</w:t>
      </w:r>
    </w:p>
    <w:p w14:paraId="7E9863D4" w14:textId="1A4A228A" w:rsidR="000211DE" w:rsidRPr="00C46D09" w:rsidRDefault="000211DE" w:rsidP="00C46D09">
      <w:pPr>
        <w:spacing w:line="480" w:lineRule="auto"/>
        <w:rPr>
          <w:rFonts w:ascii="Calibri" w:hAnsi="Calibri" w:cs="Calibri"/>
          <w:sz w:val="24"/>
          <w:szCs w:val="24"/>
        </w:rPr>
      </w:pPr>
      <w:r w:rsidRPr="000211DE">
        <w:rPr>
          <w:rFonts w:ascii="Calibri" w:hAnsi="Calibri" w:cs="Calibri"/>
          <w:sz w:val="24"/>
          <w:szCs w:val="24"/>
        </w:rPr>
        <w:t xml:space="preserve">In regulated industries such as pharmaceuticals, financial services, and healthcare, compliance with industry standards and regulations is essential for mitigating risks and avoiding penalties. However, achieving compliance can be complex and </w:t>
      </w:r>
      <w:r w:rsidR="00C46D09" w:rsidRPr="00C46D09">
        <w:rPr>
          <w:rFonts w:ascii="Calibri" w:hAnsi="Calibri" w:cs="Calibri"/>
          <w:sz w:val="24"/>
          <w:szCs w:val="24"/>
        </w:rPr>
        <w:t>resource intensive</w:t>
      </w:r>
      <w:r w:rsidRPr="000211DE">
        <w:rPr>
          <w:rFonts w:ascii="Calibri" w:hAnsi="Calibri" w:cs="Calibri"/>
          <w:sz w:val="24"/>
          <w:szCs w:val="24"/>
        </w:rPr>
        <w:t>. The case study recommends investing in compliance management software to automate tasks and stay current with changing regulations.</w:t>
      </w:r>
      <w:r w:rsidR="00C46D09" w:rsidRPr="00C46D09">
        <w:rPr>
          <w:rFonts w:ascii="Calibri" w:hAnsi="Calibri" w:cs="Calibri"/>
          <w:sz w:val="24"/>
          <w:szCs w:val="24"/>
        </w:rPr>
        <w:t xml:space="preserve"> </w:t>
      </w:r>
      <w:r w:rsidRPr="000211DE">
        <w:rPr>
          <w:rFonts w:ascii="Calibri" w:hAnsi="Calibri" w:cs="Calibri"/>
          <w:sz w:val="24"/>
          <w:szCs w:val="24"/>
        </w:rPr>
        <w:t>Importantly, successful compliance initiatives require close collaboration between IT and business teams. IT must work with business units to identify compliance requirements and design integrated solutions that meet those needs without disrupting operations. This cross-functional approach helps ensure compliance efforts are comprehensive and aligned with business goals.</w:t>
      </w:r>
    </w:p>
    <w:p w14:paraId="4E92A465" w14:textId="7EF206B4" w:rsidR="000211DE" w:rsidRPr="00C46D09" w:rsidRDefault="000211DE" w:rsidP="00C46D09">
      <w:pPr>
        <w:spacing w:line="480" w:lineRule="auto"/>
        <w:rPr>
          <w:rFonts w:ascii="Calibri" w:hAnsi="Calibri" w:cs="Calibri"/>
          <w:sz w:val="24"/>
          <w:szCs w:val="24"/>
        </w:rPr>
      </w:pPr>
      <w:r w:rsidRPr="000211DE">
        <w:rPr>
          <w:rFonts w:ascii="Calibri" w:hAnsi="Calibri" w:cs="Calibri"/>
          <w:sz w:val="24"/>
          <w:szCs w:val="24"/>
        </w:rPr>
        <w:t xml:space="preserve">For critical systems like ATM networks, telemetry data provides valuable performance </w:t>
      </w:r>
      <w:r w:rsidRPr="00C46D09">
        <w:rPr>
          <w:rFonts w:ascii="Calibri" w:hAnsi="Calibri" w:cs="Calibri"/>
          <w:sz w:val="24"/>
          <w:szCs w:val="24"/>
        </w:rPr>
        <w:t xml:space="preserve"> views</w:t>
      </w:r>
      <w:r w:rsidRPr="000211DE">
        <w:rPr>
          <w:rFonts w:ascii="Calibri" w:hAnsi="Calibri" w:cs="Calibri"/>
          <w:sz w:val="24"/>
          <w:szCs w:val="24"/>
        </w:rPr>
        <w:t xml:space="preserve"> that enable </w:t>
      </w:r>
      <w:r w:rsidR="00C46D09" w:rsidRPr="000211DE">
        <w:rPr>
          <w:rFonts w:ascii="Calibri" w:hAnsi="Calibri" w:cs="Calibri"/>
          <w:sz w:val="24"/>
          <w:szCs w:val="24"/>
        </w:rPr>
        <w:t>initiative-taking</w:t>
      </w:r>
      <w:r w:rsidRPr="000211DE">
        <w:rPr>
          <w:rFonts w:ascii="Calibri" w:hAnsi="Calibri" w:cs="Calibri"/>
          <w:sz w:val="24"/>
          <w:szCs w:val="24"/>
        </w:rPr>
        <w:t xml:space="preserve"> issue identification and resolution. However, implementing telemetry in complex environments presents challenges around scalability, reliability, and security.IT teams must design telemetry solutions that can </w:t>
      </w:r>
      <w:r w:rsidR="00C46D09" w:rsidRPr="000211DE">
        <w:rPr>
          <w:rFonts w:ascii="Calibri" w:hAnsi="Calibri" w:cs="Calibri"/>
          <w:sz w:val="24"/>
          <w:szCs w:val="24"/>
        </w:rPr>
        <w:t>manage</w:t>
      </w:r>
      <w:r w:rsidRPr="000211DE">
        <w:rPr>
          <w:rFonts w:ascii="Calibri" w:hAnsi="Calibri" w:cs="Calibri"/>
          <w:sz w:val="24"/>
          <w:szCs w:val="24"/>
        </w:rPr>
        <w:t xml:space="preserve"> large data volumes while </w:t>
      </w:r>
      <w:r w:rsidRPr="000211DE">
        <w:rPr>
          <w:rFonts w:ascii="Calibri" w:hAnsi="Calibri" w:cs="Calibri"/>
          <w:sz w:val="24"/>
          <w:szCs w:val="24"/>
        </w:rPr>
        <w:lastRenderedPageBreak/>
        <w:t>remaining stable and protected. Additionally, processes must be in place to analyze telemetry data in real-time and quickly act on insights to prevent downtime. When properly implemented, telemetry enhances system monitoring capabilities and supports high availability.</w:t>
      </w:r>
    </w:p>
    <w:p w14:paraId="3015B708" w14:textId="6C91BA39" w:rsidR="000211DE" w:rsidRPr="000211DE" w:rsidRDefault="000211DE" w:rsidP="00C46D09">
      <w:pPr>
        <w:spacing w:line="480" w:lineRule="auto"/>
        <w:rPr>
          <w:rFonts w:ascii="Calibri" w:hAnsi="Calibri" w:cs="Calibri"/>
          <w:sz w:val="24"/>
          <w:szCs w:val="24"/>
        </w:rPr>
      </w:pPr>
      <w:r w:rsidRPr="000211DE">
        <w:rPr>
          <w:rFonts w:ascii="Calibri" w:hAnsi="Calibri" w:cs="Calibri"/>
          <w:sz w:val="24"/>
          <w:szCs w:val="24"/>
        </w:rPr>
        <w:t>Both case studies offer valuable lessons for organizations implementing compliance and telemetry systems</w:t>
      </w:r>
      <w:r w:rsidRPr="00C46D09">
        <w:rPr>
          <w:rFonts w:ascii="Calibri" w:hAnsi="Calibri" w:cs="Calibri"/>
          <w:sz w:val="24"/>
          <w:szCs w:val="24"/>
        </w:rPr>
        <w:t xml:space="preserve">. </w:t>
      </w:r>
      <w:r w:rsidRPr="000211DE">
        <w:rPr>
          <w:rFonts w:ascii="Calibri" w:hAnsi="Calibri" w:cs="Calibri"/>
          <w:sz w:val="24"/>
          <w:szCs w:val="24"/>
        </w:rPr>
        <w:t>Both authors emphasize the importance of automating processes. In compliance, automation helps manage complex regulatory requirements efficiently. For telemetry, automated data collection and analysis are crucial for real-time monitoring.</w:t>
      </w:r>
      <w:r w:rsidRPr="00C46D09">
        <w:rPr>
          <w:rFonts w:ascii="Calibri" w:hAnsi="Calibri" w:cs="Calibri"/>
          <w:sz w:val="24"/>
          <w:szCs w:val="24"/>
        </w:rPr>
        <w:t xml:space="preserve"> </w:t>
      </w:r>
      <w:r w:rsidRPr="000211DE">
        <w:rPr>
          <w:rFonts w:ascii="Calibri" w:hAnsi="Calibri" w:cs="Calibri"/>
          <w:sz w:val="24"/>
          <w:szCs w:val="24"/>
        </w:rPr>
        <w:t>The compliance case study highlights the need for IT and business teams to work together. This lesson applies equally to telemetry implementations, where IT must understand business needs to design effective monitoring solutions.</w:t>
      </w:r>
      <w:r w:rsidRPr="00C46D09">
        <w:rPr>
          <w:rFonts w:ascii="Calibri" w:hAnsi="Calibri" w:cs="Calibri"/>
          <w:sz w:val="24"/>
          <w:szCs w:val="24"/>
        </w:rPr>
        <w:t xml:space="preserve"> </w:t>
      </w:r>
      <w:r w:rsidRPr="000211DE">
        <w:rPr>
          <w:rFonts w:ascii="Calibri" w:hAnsi="Calibri" w:cs="Calibri"/>
          <w:sz w:val="24"/>
          <w:szCs w:val="24"/>
        </w:rPr>
        <w:t>Both studies stress the importance of solutions that can scale with the organization and integrate with existing systems. This ensures long-term viability and minimizes operational disruption.</w:t>
      </w:r>
      <w:r w:rsidRPr="00C46D09">
        <w:rPr>
          <w:rFonts w:ascii="Calibri" w:hAnsi="Calibri" w:cs="Calibri"/>
          <w:sz w:val="24"/>
          <w:szCs w:val="24"/>
        </w:rPr>
        <w:t xml:space="preserve"> </w:t>
      </w:r>
      <w:r w:rsidRPr="000211DE">
        <w:rPr>
          <w:rFonts w:ascii="Calibri" w:hAnsi="Calibri" w:cs="Calibri"/>
          <w:sz w:val="24"/>
          <w:szCs w:val="24"/>
        </w:rPr>
        <w:t xml:space="preserve">The telemetry case study emphasizes </w:t>
      </w:r>
      <w:r w:rsidR="00C46D09" w:rsidRPr="000211DE">
        <w:rPr>
          <w:rFonts w:ascii="Calibri" w:hAnsi="Calibri" w:cs="Calibri"/>
          <w:sz w:val="24"/>
          <w:szCs w:val="24"/>
        </w:rPr>
        <w:t>initiative-taking</w:t>
      </w:r>
      <w:r w:rsidRPr="000211DE">
        <w:rPr>
          <w:rFonts w:ascii="Calibri" w:hAnsi="Calibri" w:cs="Calibri"/>
          <w:sz w:val="24"/>
          <w:szCs w:val="24"/>
        </w:rPr>
        <w:t xml:space="preserve"> issue identification, a principle that can be applied to compliance as well. Anticipating regulatory changes and potential compliance issues can prevent costly penalties.</w:t>
      </w:r>
      <w:r w:rsidRPr="00C46D09">
        <w:rPr>
          <w:rFonts w:ascii="Calibri" w:hAnsi="Calibri" w:cs="Calibri"/>
          <w:sz w:val="24"/>
          <w:szCs w:val="24"/>
        </w:rPr>
        <w:t xml:space="preserve"> </w:t>
      </w:r>
      <w:r w:rsidRPr="000211DE">
        <w:rPr>
          <w:rFonts w:ascii="Calibri" w:hAnsi="Calibri" w:cs="Calibri"/>
          <w:sz w:val="24"/>
          <w:szCs w:val="24"/>
        </w:rPr>
        <w:t xml:space="preserve">While more explicitly discussed in the telemetry case study, data security is crucial for both compliance and telemetry systems, especially in regulated industries </w:t>
      </w:r>
      <w:r w:rsidR="00C46D09" w:rsidRPr="000211DE">
        <w:rPr>
          <w:rFonts w:ascii="Calibri" w:hAnsi="Calibri" w:cs="Calibri"/>
          <w:sz w:val="24"/>
          <w:szCs w:val="24"/>
        </w:rPr>
        <w:t>overseeing</w:t>
      </w:r>
      <w:r w:rsidRPr="000211DE">
        <w:rPr>
          <w:rFonts w:ascii="Calibri" w:hAnsi="Calibri" w:cs="Calibri"/>
          <w:sz w:val="24"/>
          <w:szCs w:val="24"/>
        </w:rPr>
        <w:t xml:space="preserve"> sensitive information.</w:t>
      </w:r>
      <w:r w:rsidRPr="00C46D09">
        <w:rPr>
          <w:rFonts w:ascii="Calibri" w:hAnsi="Calibri" w:cs="Calibri"/>
          <w:sz w:val="24"/>
          <w:szCs w:val="24"/>
        </w:rPr>
        <w:t xml:space="preserve"> </w:t>
      </w:r>
      <w:r w:rsidRPr="000211DE">
        <w:rPr>
          <w:rFonts w:ascii="Calibri" w:hAnsi="Calibri" w:cs="Calibri"/>
          <w:sz w:val="24"/>
          <w:szCs w:val="24"/>
        </w:rPr>
        <w:t>Both studies imply the need for ongoing refinement of systems and processes. Regulations change, and system requirements evolve, necessitating regular reviews and updates.</w:t>
      </w:r>
    </w:p>
    <w:p w14:paraId="55CE2750" w14:textId="505ED772" w:rsidR="00690CFD" w:rsidRDefault="000211DE" w:rsidP="00C46D09">
      <w:pPr>
        <w:spacing w:line="480" w:lineRule="auto"/>
        <w:rPr>
          <w:rFonts w:ascii="Calibri" w:hAnsi="Calibri" w:cs="Calibri"/>
          <w:sz w:val="24"/>
          <w:szCs w:val="24"/>
        </w:rPr>
      </w:pPr>
      <w:r w:rsidRPr="00C46D09">
        <w:rPr>
          <w:rFonts w:ascii="Calibri" w:hAnsi="Calibri" w:cs="Calibri"/>
          <w:sz w:val="24"/>
          <w:szCs w:val="24"/>
        </w:rPr>
        <w:t xml:space="preserve">These case studies demonstrate that while compliance and telemetry are critical for regulated industries, their implementation requires careful planning and cross-functional collaboration. Organizations should leverage purpose-built software solutions while ensuring alignment </w:t>
      </w:r>
      <w:r w:rsidRPr="00C46D09">
        <w:rPr>
          <w:rFonts w:ascii="Calibri" w:hAnsi="Calibri" w:cs="Calibri"/>
          <w:sz w:val="24"/>
          <w:szCs w:val="24"/>
        </w:rPr>
        <w:lastRenderedPageBreak/>
        <w:t>between IT and business objectives. With the right approach, compliance and telemetry systems can provide significant value in terms of risk mitigation, regulatory adherence, and operational reliability. The lessons learned from these case studies provide a valuable roadmap for organizations seeking to enhance their compliance and monitoring capabilities.</w:t>
      </w:r>
    </w:p>
    <w:p w14:paraId="67BFAE9D" w14:textId="77777777" w:rsidR="00C46D09" w:rsidRDefault="00C46D09" w:rsidP="00C46D09">
      <w:pPr>
        <w:spacing w:line="480" w:lineRule="auto"/>
        <w:rPr>
          <w:rFonts w:ascii="Calibri" w:hAnsi="Calibri" w:cs="Calibri"/>
          <w:sz w:val="24"/>
          <w:szCs w:val="24"/>
        </w:rPr>
      </w:pPr>
    </w:p>
    <w:p w14:paraId="2C947344" w14:textId="77777777" w:rsidR="00C46D09" w:rsidRDefault="00C46D09" w:rsidP="00C46D09">
      <w:pPr>
        <w:spacing w:line="480" w:lineRule="auto"/>
        <w:rPr>
          <w:rFonts w:ascii="Calibri" w:hAnsi="Calibri" w:cs="Calibri"/>
          <w:sz w:val="24"/>
          <w:szCs w:val="24"/>
        </w:rPr>
      </w:pPr>
    </w:p>
    <w:p w14:paraId="443815C1" w14:textId="77777777" w:rsidR="00C46D09" w:rsidRDefault="00C46D09" w:rsidP="00C46D09">
      <w:pPr>
        <w:spacing w:line="480" w:lineRule="auto"/>
        <w:rPr>
          <w:rFonts w:ascii="Calibri" w:hAnsi="Calibri" w:cs="Calibri"/>
          <w:sz w:val="24"/>
          <w:szCs w:val="24"/>
        </w:rPr>
      </w:pPr>
    </w:p>
    <w:p w14:paraId="4FEEA742" w14:textId="77777777" w:rsidR="00C46D09" w:rsidRDefault="00C46D09" w:rsidP="00C46D09">
      <w:pPr>
        <w:spacing w:line="480" w:lineRule="auto"/>
        <w:rPr>
          <w:rFonts w:ascii="Calibri" w:hAnsi="Calibri" w:cs="Calibri"/>
          <w:sz w:val="24"/>
          <w:szCs w:val="24"/>
        </w:rPr>
      </w:pPr>
    </w:p>
    <w:p w14:paraId="61DACC8F" w14:textId="77777777" w:rsidR="00C46D09" w:rsidRDefault="00C46D09" w:rsidP="00C46D09">
      <w:pPr>
        <w:spacing w:line="480" w:lineRule="auto"/>
        <w:rPr>
          <w:rFonts w:ascii="Calibri" w:hAnsi="Calibri" w:cs="Calibri"/>
          <w:sz w:val="24"/>
          <w:szCs w:val="24"/>
        </w:rPr>
      </w:pPr>
    </w:p>
    <w:p w14:paraId="1FBFC059" w14:textId="77777777" w:rsidR="00C46D09" w:rsidRDefault="00C46D09" w:rsidP="00C46D09">
      <w:pPr>
        <w:spacing w:line="480" w:lineRule="auto"/>
        <w:rPr>
          <w:rFonts w:ascii="Calibri" w:hAnsi="Calibri" w:cs="Calibri"/>
          <w:sz w:val="24"/>
          <w:szCs w:val="24"/>
        </w:rPr>
      </w:pPr>
    </w:p>
    <w:p w14:paraId="12BA340B" w14:textId="77777777" w:rsidR="00C46D09" w:rsidRDefault="00C46D09" w:rsidP="00C46D09">
      <w:pPr>
        <w:spacing w:line="480" w:lineRule="auto"/>
        <w:rPr>
          <w:rFonts w:ascii="Calibri" w:hAnsi="Calibri" w:cs="Calibri"/>
          <w:sz w:val="24"/>
          <w:szCs w:val="24"/>
        </w:rPr>
      </w:pPr>
    </w:p>
    <w:p w14:paraId="08926319" w14:textId="77777777" w:rsidR="00C46D09" w:rsidRDefault="00C46D09" w:rsidP="00C46D09">
      <w:pPr>
        <w:spacing w:line="480" w:lineRule="auto"/>
        <w:rPr>
          <w:rFonts w:ascii="Calibri" w:hAnsi="Calibri" w:cs="Calibri"/>
          <w:sz w:val="24"/>
          <w:szCs w:val="24"/>
        </w:rPr>
      </w:pPr>
    </w:p>
    <w:p w14:paraId="0E1F4CD4" w14:textId="77777777" w:rsidR="00C46D09" w:rsidRDefault="00C46D09" w:rsidP="00C46D09">
      <w:pPr>
        <w:spacing w:line="480" w:lineRule="auto"/>
        <w:rPr>
          <w:rFonts w:ascii="Calibri" w:hAnsi="Calibri" w:cs="Calibri"/>
          <w:sz w:val="24"/>
          <w:szCs w:val="24"/>
        </w:rPr>
      </w:pPr>
    </w:p>
    <w:p w14:paraId="7B136871" w14:textId="77777777" w:rsidR="00C46D09" w:rsidRDefault="00C46D09" w:rsidP="00C46D09">
      <w:pPr>
        <w:spacing w:line="480" w:lineRule="auto"/>
        <w:rPr>
          <w:rFonts w:ascii="Calibri" w:hAnsi="Calibri" w:cs="Calibri"/>
          <w:sz w:val="24"/>
          <w:szCs w:val="24"/>
        </w:rPr>
      </w:pPr>
    </w:p>
    <w:p w14:paraId="71BD69A7" w14:textId="77777777" w:rsidR="00C46D09" w:rsidRDefault="00C46D09" w:rsidP="00C46D09">
      <w:pPr>
        <w:spacing w:line="480" w:lineRule="auto"/>
        <w:rPr>
          <w:rFonts w:ascii="Calibri" w:hAnsi="Calibri" w:cs="Calibri"/>
          <w:sz w:val="24"/>
          <w:szCs w:val="24"/>
        </w:rPr>
      </w:pPr>
    </w:p>
    <w:p w14:paraId="191330B2" w14:textId="77777777" w:rsidR="00C46D09" w:rsidRDefault="00C46D09" w:rsidP="00C46D09">
      <w:pPr>
        <w:spacing w:line="480" w:lineRule="auto"/>
        <w:rPr>
          <w:rFonts w:ascii="Calibri" w:hAnsi="Calibri" w:cs="Calibri"/>
          <w:sz w:val="24"/>
          <w:szCs w:val="24"/>
        </w:rPr>
      </w:pPr>
    </w:p>
    <w:p w14:paraId="7A4EF030" w14:textId="77777777" w:rsidR="00C46D09" w:rsidRDefault="00C46D09" w:rsidP="00C46D09">
      <w:pPr>
        <w:spacing w:line="480" w:lineRule="auto"/>
        <w:rPr>
          <w:rFonts w:ascii="Calibri" w:hAnsi="Calibri" w:cs="Calibri"/>
          <w:sz w:val="24"/>
          <w:szCs w:val="24"/>
        </w:rPr>
      </w:pPr>
    </w:p>
    <w:p w14:paraId="4EF18D80" w14:textId="77777777" w:rsidR="00C46D09" w:rsidRDefault="00C46D09" w:rsidP="00C46D09">
      <w:pPr>
        <w:spacing w:line="480" w:lineRule="auto"/>
        <w:rPr>
          <w:rFonts w:ascii="Calibri" w:hAnsi="Calibri" w:cs="Calibri"/>
          <w:sz w:val="24"/>
          <w:szCs w:val="24"/>
        </w:rPr>
      </w:pPr>
    </w:p>
    <w:p w14:paraId="3C99022A" w14:textId="378C6991" w:rsidR="00C46D09" w:rsidRDefault="00C46D09" w:rsidP="00C46D09">
      <w:pPr>
        <w:spacing w:line="480" w:lineRule="auto"/>
        <w:jc w:val="center"/>
        <w:rPr>
          <w:rFonts w:ascii="Calibri" w:hAnsi="Calibri" w:cs="Calibri"/>
          <w:b/>
          <w:bCs/>
          <w:sz w:val="24"/>
          <w:szCs w:val="24"/>
        </w:rPr>
      </w:pPr>
      <w:r>
        <w:rPr>
          <w:rFonts w:ascii="Calibri" w:hAnsi="Calibri" w:cs="Calibri"/>
          <w:b/>
          <w:bCs/>
          <w:sz w:val="24"/>
          <w:szCs w:val="24"/>
        </w:rPr>
        <w:lastRenderedPageBreak/>
        <w:t>Work Cited</w:t>
      </w:r>
    </w:p>
    <w:p w14:paraId="133CD12D" w14:textId="77777777" w:rsidR="00C46D09" w:rsidRPr="00C46D09" w:rsidRDefault="00C46D09" w:rsidP="00C46D09">
      <w:pPr>
        <w:spacing w:line="480" w:lineRule="auto"/>
        <w:rPr>
          <w:rFonts w:ascii="Calibri" w:hAnsi="Calibri" w:cs="Calibri"/>
          <w:sz w:val="24"/>
          <w:szCs w:val="24"/>
        </w:rPr>
      </w:pPr>
      <w:r w:rsidRPr="00C46D09">
        <w:rPr>
          <w:rFonts w:ascii="Calibri" w:hAnsi="Calibri" w:cs="Calibri"/>
          <w:sz w:val="24"/>
          <w:szCs w:val="24"/>
        </w:rPr>
        <w:t>Kim, G., Debois, P., Willis, J., Humble, J., &amp; Allspaw, J. (2015). </w:t>
      </w:r>
      <w:r w:rsidRPr="00C46D09">
        <w:rPr>
          <w:rFonts w:ascii="Calibri" w:hAnsi="Calibri" w:cs="Calibri"/>
          <w:i/>
          <w:iCs/>
          <w:sz w:val="24"/>
          <w:szCs w:val="24"/>
        </w:rPr>
        <w:t>The Devops Handbook How to Create World-class Agility, Reliability, and Security in Technology Organizations.</w:t>
      </w:r>
      <w:r w:rsidRPr="00C46D09">
        <w:rPr>
          <w:rFonts w:ascii="Calibri" w:hAnsi="Calibri" w:cs="Calibri"/>
          <w:sz w:val="24"/>
          <w:szCs w:val="24"/>
        </w:rPr>
        <w:t> It Revolution Pr.</w:t>
      </w:r>
    </w:p>
    <w:p w14:paraId="32E8257E" w14:textId="39720689" w:rsidR="00C46D09" w:rsidRPr="00C46D09" w:rsidRDefault="00C46D09" w:rsidP="00C46D09">
      <w:pPr>
        <w:spacing w:line="480" w:lineRule="auto"/>
        <w:rPr>
          <w:rFonts w:ascii="Calibri" w:hAnsi="Calibri" w:cs="Calibri"/>
          <w:sz w:val="24"/>
          <w:szCs w:val="24"/>
        </w:rPr>
      </w:pPr>
    </w:p>
    <w:sectPr w:rsidR="00C46D09" w:rsidRPr="00C46D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186D1" w14:textId="77777777" w:rsidR="00385F53" w:rsidRDefault="00385F53" w:rsidP="00C46D09">
      <w:pPr>
        <w:spacing w:after="0" w:line="240" w:lineRule="auto"/>
      </w:pPr>
      <w:r>
        <w:separator/>
      </w:r>
    </w:p>
  </w:endnote>
  <w:endnote w:type="continuationSeparator" w:id="0">
    <w:p w14:paraId="469CBC4E" w14:textId="77777777" w:rsidR="00385F53" w:rsidRDefault="00385F53" w:rsidP="00C4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F4E64" w14:textId="77777777" w:rsidR="00385F53" w:rsidRDefault="00385F53" w:rsidP="00C46D09">
      <w:pPr>
        <w:spacing w:after="0" w:line="240" w:lineRule="auto"/>
      </w:pPr>
      <w:r>
        <w:separator/>
      </w:r>
    </w:p>
  </w:footnote>
  <w:footnote w:type="continuationSeparator" w:id="0">
    <w:p w14:paraId="0543D9AE" w14:textId="77777777" w:rsidR="00385F53" w:rsidRDefault="00385F53" w:rsidP="00C46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3472757"/>
      <w:docPartObj>
        <w:docPartGallery w:val="Page Numbers (Top of Page)"/>
        <w:docPartUnique/>
      </w:docPartObj>
    </w:sdtPr>
    <w:sdtEndPr>
      <w:rPr>
        <w:noProof/>
      </w:rPr>
    </w:sdtEndPr>
    <w:sdtContent>
      <w:p w14:paraId="4C293150" w14:textId="6139330E" w:rsidR="00C46D09" w:rsidRDefault="00C46D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8569A1" w14:textId="57EC7EA7" w:rsidR="00C46D09" w:rsidRDefault="00C46D09">
    <w:pPr>
      <w:pStyle w:val="Header"/>
    </w:pPr>
    <w:r>
      <w:t>Faith Siebert</w:t>
    </w:r>
  </w:p>
  <w:p w14:paraId="5D10CDBE" w14:textId="502F0173" w:rsidR="00C46D09" w:rsidRDefault="00C46D09">
    <w:pPr>
      <w:pStyle w:val="Header"/>
    </w:pPr>
    <w:r>
      <w:t>Module 12.2</w:t>
    </w:r>
  </w:p>
  <w:p w14:paraId="443D6A62" w14:textId="5CACCFED" w:rsidR="00C46D09" w:rsidRDefault="00C46D09">
    <w:pPr>
      <w:pStyle w:val="Header"/>
    </w:pPr>
    <w:r>
      <w:t>7/28/24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45302"/>
    <w:multiLevelType w:val="multilevel"/>
    <w:tmpl w:val="6CE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77D5C"/>
    <w:multiLevelType w:val="multilevel"/>
    <w:tmpl w:val="057E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515017">
    <w:abstractNumId w:val="1"/>
  </w:num>
  <w:num w:numId="2" w16cid:durableId="35442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11DE"/>
    <w:rsid w:val="000211DE"/>
    <w:rsid w:val="002E7D60"/>
    <w:rsid w:val="00385F53"/>
    <w:rsid w:val="00690CFD"/>
    <w:rsid w:val="00A55889"/>
    <w:rsid w:val="00C46D09"/>
    <w:rsid w:val="00EA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11E6A"/>
  <w15:chartTrackingRefBased/>
  <w15:docId w15:val="{2179F1EF-17A1-4D8B-91BB-7D10CC05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1DE"/>
    <w:rPr>
      <w:rFonts w:eastAsiaTheme="majorEastAsia" w:cstheme="majorBidi"/>
      <w:color w:val="272727" w:themeColor="text1" w:themeTint="D8"/>
    </w:rPr>
  </w:style>
  <w:style w:type="paragraph" w:styleId="Title">
    <w:name w:val="Title"/>
    <w:basedOn w:val="Normal"/>
    <w:next w:val="Normal"/>
    <w:link w:val="TitleChar"/>
    <w:uiPriority w:val="10"/>
    <w:qFormat/>
    <w:rsid w:val="00021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1DE"/>
    <w:pPr>
      <w:spacing w:before="160"/>
      <w:jc w:val="center"/>
    </w:pPr>
    <w:rPr>
      <w:i/>
      <w:iCs/>
      <w:color w:val="404040" w:themeColor="text1" w:themeTint="BF"/>
    </w:rPr>
  </w:style>
  <w:style w:type="character" w:customStyle="1" w:styleId="QuoteChar">
    <w:name w:val="Quote Char"/>
    <w:basedOn w:val="DefaultParagraphFont"/>
    <w:link w:val="Quote"/>
    <w:uiPriority w:val="29"/>
    <w:rsid w:val="000211DE"/>
    <w:rPr>
      <w:i/>
      <w:iCs/>
      <w:color w:val="404040" w:themeColor="text1" w:themeTint="BF"/>
    </w:rPr>
  </w:style>
  <w:style w:type="paragraph" w:styleId="ListParagraph">
    <w:name w:val="List Paragraph"/>
    <w:basedOn w:val="Normal"/>
    <w:uiPriority w:val="34"/>
    <w:qFormat/>
    <w:rsid w:val="000211DE"/>
    <w:pPr>
      <w:ind w:left="720"/>
      <w:contextualSpacing/>
    </w:pPr>
  </w:style>
  <w:style w:type="character" w:styleId="IntenseEmphasis">
    <w:name w:val="Intense Emphasis"/>
    <w:basedOn w:val="DefaultParagraphFont"/>
    <w:uiPriority w:val="21"/>
    <w:qFormat/>
    <w:rsid w:val="000211DE"/>
    <w:rPr>
      <w:i/>
      <w:iCs/>
      <w:color w:val="0F4761" w:themeColor="accent1" w:themeShade="BF"/>
    </w:rPr>
  </w:style>
  <w:style w:type="paragraph" w:styleId="IntenseQuote">
    <w:name w:val="Intense Quote"/>
    <w:basedOn w:val="Normal"/>
    <w:next w:val="Normal"/>
    <w:link w:val="IntenseQuoteChar"/>
    <w:uiPriority w:val="30"/>
    <w:qFormat/>
    <w:rsid w:val="00021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1DE"/>
    <w:rPr>
      <w:i/>
      <w:iCs/>
      <w:color w:val="0F4761" w:themeColor="accent1" w:themeShade="BF"/>
    </w:rPr>
  </w:style>
  <w:style w:type="character" w:styleId="IntenseReference">
    <w:name w:val="Intense Reference"/>
    <w:basedOn w:val="DefaultParagraphFont"/>
    <w:uiPriority w:val="32"/>
    <w:qFormat/>
    <w:rsid w:val="000211DE"/>
    <w:rPr>
      <w:b/>
      <w:bCs/>
      <w:smallCaps/>
      <w:color w:val="0F4761" w:themeColor="accent1" w:themeShade="BF"/>
      <w:spacing w:val="5"/>
    </w:rPr>
  </w:style>
  <w:style w:type="paragraph" w:styleId="Header">
    <w:name w:val="header"/>
    <w:basedOn w:val="Normal"/>
    <w:link w:val="HeaderChar"/>
    <w:uiPriority w:val="99"/>
    <w:unhideWhenUsed/>
    <w:rsid w:val="00C46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D09"/>
  </w:style>
  <w:style w:type="paragraph" w:styleId="Footer">
    <w:name w:val="footer"/>
    <w:basedOn w:val="Normal"/>
    <w:link w:val="FooterChar"/>
    <w:uiPriority w:val="99"/>
    <w:unhideWhenUsed/>
    <w:rsid w:val="00C46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50741">
      <w:bodyDiv w:val="1"/>
      <w:marLeft w:val="0"/>
      <w:marRight w:val="0"/>
      <w:marTop w:val="0"/>
      <w:marBottom w:val="0"/>
      <w:divBdr>
        <w:top w:val="none" w:sz="0" w:space="0" w:color="auto"/>
        <w:left w:val="none" w:sz="0" w:space="0" w:color="auto"/>
        <w:bottom w:val="none" w:sz="0" w:space="0" w:color="auto"/>
        <w:right w:val="none" w:sz="0" w:space="0" w:color="auto"/>
      </w:divBdr>
    </w:div>
    <w:div w:id="637422102">
      <w:bodyDiv w:val="1"/>
      <w:marLeft w:val="0"/>
      <w:marRight w:val="0"/>
      <w:marTop w:val="0"/>
      <w:marBottom w:val="0"/>
      <w:divBdr>
        <w:top w:val="none" w:sz="0" w:space="0" w:color="auto"/>
        <w:left w:val="none" w:sz="0" w:space="0" w:color="auto"/>
        <w:bottom w:val="none" w:sz="0" w:space="0" w:color="auto"/>
        <w:right w:val="none" w:sz="0" w:space="0" w:color="auto"/>
      </w:divBdr>
    </w:div>
    <w:div w:id="1119298997">
      <w:bodyDiv w:val="1"/>
      <w:marLeft w:val="0"/>
      <w:marRight w:val="0"/>
      <w:marTop w:val="0"/>
      <w:marBottom w:val="0"/>
      <w:divBdr>
        <w:top w:val="none" w:sz="0" w:space="0" w:color="auto"/>
        <w:left w:val="none" w:sz="0" w:space="0" w:color="auto"/>
        <w:bottom w:val="none" w:sz="0" w:space="0" w:color="auto"/>
        <w:right w:val="none" w:sz="0" w:space="0" w:color="auto"/>
      </w:divBdr>
    </w:div>
    <w:div w:id="18628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537</Words>
  <Characters>3643</Characters>
  <Application>Microsoft Office Word</Application>
  <DocSecurity>0</DocSecurity>
  <Lines>63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Siebert</dc:creator>
  <cp:keywords/>
  <dc:description/>
  <cp:lastModifiedBy>Faith Siebert</cp:lastModifiedBy>
  <cp:revision>1</cp:revision>
  <dcterms:created xsi:type="dcterms:W3CDTF">2024-07-28T16:19:00Z</dcterms:created>
  <dcterms:modified xsi:type="dcterms:W3CDTF">2024-07-28T16:34:00Z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77a20d5d-cb7d-4d10-8e4f-c98934cd9e72</vt:lpwstr>
  </property>
</Properties>
</file>