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b w:val="1"/>
          <w:bCs w:val="1"/>
          <w:sz w:val="36"/>
          <w:szCs w:val="36"/>
        </w:rPr>
      </w:pPr>
      <w:bookmarkStart w:colFirst="0" w:colLast="0" w:name="_6tyl7qhfdfe3" w:id="0"/>
      <w:bookmarkEnd w:id="0"/>
      <w:r w:rsidDel="00000000" w:rsidR="00000000" w:rsidRPr="00000000">
        <w:rPr>
          <w:b w:val="1"/>
          <w:bCs w:val="1"/>
          <w:sz w:val="36"/>
          <w:szCs w:val="36"/>
        </w:rPr>
        <w:drawing>
          <wp:inline distB="114300" distT="114300" distL="114300" distR="114300">
            <wp:extent cx="4881563" cy="325437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81563" cy="3254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sz w:val="38"/>
          <w:szCs w:val="38"/>
        </w:rPr>
      </w:pPr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WQD7003 Data Analytics</w:t>
      </w:r>
      <w:r w:rsidDel="00000000" w:rsidR="00000000" w:rsidRPr="00000000">
        <w:rPr>
          <w:sz w:val="38"/>
          <w:szCs w:val="38"/>
          <w:rtl w:val="0"/>
        </w:rPr>
        <w:br w:type="textWrapping"/>
      </w:r>
      <w:r w:rsidDel="00000000" w:rsidR="00000000" w:rsidRPr="00000000">
        <w:rPr>
          <w:i w:val="1"/>
          <w:iCs w:val="1"/>
          <w:sz w:val="38"/>
          <w:szCs w:val="38"/>
          <w:rtl w:val="0"/>
        </w:rPr>
        <w:t xml:space="preserve"> Assignment 1</w:t>
      </w:r>
      <w:r w:rsidDel="00000000" w:rsidR="00000000" w:rsidRPr="00000000">
        <w:rPr>
          <w:sz w:val="38"/>
          <w:szCs w:val="38"/>
          <w:rtl w:val="0"/>
        </w:rPr>
        <w:t xml:space="preserve"> </w:t>
      </w:r>
    </w:p>
    <w:p w:rsidR="00000000" w:rsidDel="00000000" w:rsidP="00000000" w:rsidRDefault="00000000" w:rsidRPr="00000000" w14:paraId="00000004">
      <w:pPr>
        <w:jc w:val="center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1440" w:firstLine="0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Name:</w:t>
      </w:r>
      <w:r w:rsidDel="00000000" w:rsidR="00000000" w:rsidRPr="00000000">
        <w:rPr>
          <w:sz w:val="30"/>
          <w:szCs w:val="30"/>
          <w:rtl w:val="0"/>
        </w:rPr>
        <w:t xml:space="preserve"> Faiz Yah Bin Abdul Hanan Yah</w:t>
      </w:r>
    </w:p>
    <w:p w:rsidR="00000000" w:rsidDel="00000000" w:rsidP="00000000" w:rsidRDefault="00000000" w:rsidRPr="00000000" w14:paraId="00000007">
      <w:pPr>
        <w:ind w:left="1440" w:firstLine="0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Student ID:</w:t>
      </w:r>
      <w:r w:rsidDel="00000000" w:rsidR="00000000" w:rsidRPr="00000000">
        <w:rPr>
          <w:sz w:val="30"/>
          <w:szCs w:val="30"/>
          <w:rtl w:val="0"/>
        </w:rPr>
        <w:t xml:space="preserve"> 24087980</w:t>
      </w:r>
    </w:p>
    <w:p w:rsidR="00000000" w:rsidDel="00000000" w:rsidP="00000000" w:rsidRDefault="00000000" w:rsidRPr="00000000" w14:paraId="00000008">
      <w:pPr>
        <w:ind w:left="720" w:firstLine="720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Date:</w:t>
      </w:r>
      <w:r w:rsidDel="00000000" w:rsidR="00000000" w:rsidRPr="00000000">
        <w:rPr>
          <w:sz w:val="30"/>
          <w:szCs w:val="30"/>
          <w:rtl w:val="0"/>
        </w:rPr>
        <w:t xml:space="preserve"> 2nd January 2025</w:t>
      </w:r>
    </w:p>
    <w:p w:rsidR="00000000" w:rsidDel="00000000" w:rsidP="00000000" w:rsidRDefault="00000000" w:rsidRPr="00000000" w14:paraId="00000009">
      <w:pPr>
        <w:ind w:left="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720" w:firstLine="72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720" w:firstLine="720"/>
        <w:rPr>
          <w:sz w:val="30"/>
          <w:szCs w:val="3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ind w:left="-270.00000000000006" w:firstLine="0"/>
        <w:jc w:val="center"/>
        <w:rPr>
          <w:b w:val="1"/>
          <w:bCs w:val="1"/>
          <w:sz w:val="34"/>
          <w:szCs w:val="34"/>
        </w:rPr>
      </w:pPr>
      <w:bookmarkStart w:colFirst="0" w:colLast="0" w:name="_h1v8g1tgkgr0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 Introduction</w:t>
      </w:r>
    </w:p>
    <w:p w:rsidR="00000000" w:rsidDel="00000000" w:rsidP="00000000" w:rsidRDefault="00000000" w:rsidRPr="00000000" w14:paraId="0000000D">
      <w:pPr>
        <w:ind w:left="-270.00000000000006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analysis examines a Client Engagement and Service Utilization dataset containing 10 customer records with 8 variables. The dataset captures customer demographics (Age, Gender), financial indicators (MonthlyIncome), behavioral metrics (EngagementScore, VisitFrequency), service interactions (LastServiceCost), and satisfaction levels (SatisfactionScore). </w:t>
      </w:r>
    </w:p>
    <w:p w:rsidR="00000000" w:rsidDel="00000000" w:rsidP="00000000" w:rsidRDefault="00000000" w:rsidRPr="00000000" w14:paraId="0000000E">
      <w:pPr>
        <w:ind w:left="-270.00000000000006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-270.00000000000006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a business context, the dataset represents customer behavior patterns for a service-based business, enabling analysis of engagement drivers, income-spending relationships, and customer segmentation for targeted marketing strategies.</w:t>
      </w:r>
    </w:p>
    <w:p w:rsidR="00000000" w:rsidDel="00000000" w:rsidP="00000000" w:rsidRDefault="00000000" w:rsidRPr="00000000" w14:paraId="00000010">
      <w:pPr>
        <w:pStyle w:val="Heading1"/>
        <w:ind w:left="-270.00000000000006" w:firstLine="0"/>
        <w:jc w:val="center"/>
        <w:rPr>
          <w:b w:val="1"/>
          <w:bCs w:val="1"/>
          <w:sz w:val="28"/>
          <w:szCs w:val="28"/>
        </w:rPr>
      </w:pPr>
      <w:bookmarkStart w:colFirst="0" w:colLast="0" w:name="_9gzcuw3mhfpc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 Discussion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ind w:left="-270.00000000000006" w:firstLine="0"/>
        <w:rPr>
          <w:b w:val="1"/>
          <w:bCs w:val="1"/>
        </w:rPr>
      </w:pPr>
      <w:bookmarkStart w:colFirst="0" w:colLast="0" w:name="_hj4fqqahx3o9" w:id="3"/>
      <w:bookmarkEnd w:id="3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2.1  EDA and Statistical Test Insights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-270.00000000000006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Operations and Key Findings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ind w:left="9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Calculating comprehensive summary statistics (mean, median, standard deviation, min, max) for all numerical variables to understand central tendencies and data spread.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ind w:left="9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An independent sample t-test was conducted to assess whether EngagementScore differs significantly across Gender groups. H0 (Null Hypothesis): No significant difference in EngagementScore between genders. H1 (Alternative Hypothesis): Significant difference exists</w:t>
      </w:r>
    </w:p>
    <w:p w:rsidR="00000000" w:rsidDel="00000000" w:rsidP="00000000" w:rsidRDefault="00000000" w:rsidRPr="00000000" w14:paraId="00000015">
      <w:pPr>
        <w:numPr>
          <w:ilvl w:val="0"/>
          <w:numId w:val="1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T-statistic: -1.29, p-value: 0.23</w:t>
      </w:r>
    </w:p>
    <w:p w:rsidR="00000000" w:rsidDel="00000000" w:rsidP="00000000" w:rsidRDefault="00000000" w:rsidRPr="00000000" w14:paraId="00000016">
      <w:pPr>
        <w:numPr>
          <w:ilvl w:val="0"/>
          <w:numId w:val="1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Since p-value is 0.23, we fail to reject the null hypothesis</w:t>
      </w:r>
    </w:p>
    <w:p w:rsidR="00000000" w:rsidDel="00000000" w:rsidP="00000000" w:rsidRDefault="00000000" w:rsidRPr="00000000" w14:paraId="00000017">
      <w:pPr>
        <w:numPr>
          <w:ilvl w:val="0"/>
          <w:numId w:val="1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Gender is not a statistically significant differentiator for engagement levels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ind w:left="9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Visualisation of boxplots to compare EngagementScore distributions by Gender to identify differences.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 Female has higher Engagement Score than Male, seen by the higher median, Q3 and max value 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Female has higher variability with larger IQR spread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ind w:left="9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Visualisation of Scatter plots examining the relationship between MonthlyIncome and EngagementScore to identify potential correlations.</w:t>
      </w:r>
    </w:p>
    <w:p w:rsidR="00000000" w:rsidDel="00000000" w:rsidP="00000000" w:rsidRDefault="00000000" w:rsidRPr="00000000" w14:paraId="0000001C">
      <w:pPr>
        <w:numPr>
          <w:ilvl w:val="0"/>
          <w:numId w:val="8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Weaker but visible correlation between income and score</w:t>
      </w:r>
    </w:p>
    <w:p w:rsidR="00000000" w:rsidDel="00000000" w:rsidP="00000000" w:rsidRDefault="00000000" w:rsidRPr="00000000" w14:paraId="0000001D">
      <w:pPr>
        <w:numPr>
          <w:ilvl w:val="0"/>
          <w:numId w:val="8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 Higher income customers tend to show higher engagement scores</w:t>
      </w:r>
    </w:p>
    <w:p w:rsidR="00000000" w:rsidDel="00000000" w:rsidP="00000000" w:rsidRDefault="00000000" w:rsidRPr="00000000" w14:paraId="0000001E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ind w:left="-270.00000000000006" w:firstLine="0"/>
        <w:rPr>
          <w:b w:val="1"/>
          <w:bCs w:val="1"/>
          <w:sz w:val="28"/>
          <w:szCs w:val="28"/>
        </w:rPr>
      </w:pPr>
      <w:bookmarkStart w:colFirst="0" w:colLast="0" w:name="_80rovavl2nw2" w:id="4"/>
      <w:bookmarkEnd w:id="4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2.2 Clustering Result Analysis</w:t>
      </w:r>
    </w:p>
    <w:p w:rsidR="00000000" w:rsidDel="00000000" w:rsidP="00000000" w:rsidRDefault="00000000" w:rsidRPr="00000000" w14:paraId="00000020">
      <w:pPr>
        <w:ind w:left="-270.00000000000006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Operations and Key Findings</w:t>
      </w:r>
    </w:p>
    <w:p w:rsidR="00000000" w:rsidDel="00000000" w:rsidP="00000000" w:rsidRDefault="00000000" w:rsidRPr="00000000" w14:paraId="00000021">
      <w:pPr>
        <w:numPr>
          <w:ilvl w:val="0"/>
          <w:numId w:val="13"/>
        </w:numPr>
        <w:ind w:left="9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</w:t>
      </w:r>
      <w:r w:rsidDel="00000000" w:rsidR="00000000" w:rsidRPr="00000000">
        <w:rPr>
          <w:sz w:val="24"/>
          <w:szCs w:val="24"/>
          <w:rtl w:val="0"/>
        </w:rPr>
        <w:t xml:space="preserve">ptimal cluster determination using Elbow Method.</w:t>
      </w:r>
    </w:p>
    <w:p w:rsidR="00000000" w:rsidDel="00000000" w:rsidP="00000000" w:rsidRDefault="00000000" w:rsidRPr="00000000" w14:paraId="00000022">
      <w:pPr>
        <w:numPr>
          <w:ilvl w:val="0"/>
          <w:numId w:val="10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Selected k=2 as it has the steepest drop of inertia</w:t>
      </w:r>
    </w:p>
    <w:p w:rsidR="00000000" w:rsidDel="00000000" w:rsidP="00000000" w:rsidRDefault="00000000" w:rsidRPr="00000000" w14:paraId="00000023">
      <w:pPr>
        <w:numPr>
          <w:ilvl w:val="0"/>
          <w:numId w:val="13"/>
        </w:numPr>
        <w:ind w:left="9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Cluster training with the optimal number of clusters.</w:t>
      </w:r>
    </w:p>
    <w:p w:rsidR="00000000" w:rsidDel="00000000" w:rsidP="00000000" w:rsidRDefault="00000000" w:rsidRPr="00000000" w14:paraId="00000024">
      <w:pPr>
        <w:numPr>
          <w:ilvl w:val="0"/>
          <w:numId w:val="13"/>
        </w:numPr>
        <w:ind w:left="9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Evaluation of cluster using Silhouette Score.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Calculated Silhouette Score of 0.45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Clusters are moderately separated, but still have certain overlap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Centroid are well separated in 2D space visualisation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Larger between-cluster distance gap suggests adequate differentiation</w:t>
      </w:r>
    </w:p>
    <w:p w:rsidR="00000000" w:rsidDel="00000000" w:rsidP="00000000" w:rsidRDefault="00000000" w:rsidRPr="00000000" w14:paraId="00000029">
      <w:pPr>
        <w:pStyle w:val="Heading2"/>
        <w:ind w:left="-270.00000000000006" w:firstLine="0"/>
        <w:rPr>
          <w:b w:val="1"/>
          <w:bCs w:val="1"/>
          <w:sz w:val="24"/>
          <w:szCs w:val="24"/>
        </w:rPr>
      </w:pPr>
      <w:bookmarkStart w:colFirst="0" w:colLast="0" w:name="_fwq8waum15xe" w:id="5"/>
      <w:bookmarkEnd w:id="5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2.3 Business Implications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-270.00000000000006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Since we applied k=2, we obtain 2 clusters with distinct characteristics, and each should be treated differently from a business perspective.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ind w:left="9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Cluster 0</w:t>
      </w:r>
    </w:p>
    <w:p w:rsidR="00000000" w:rsidDel="00000000" w:rsidP="00000000" w:rsidRDefault="00000000" w:rsidRPr="00000000" w14:paraId="0000002C">
      <w:pPr>
        <w:numPr>
          <w:ilvl w:val="0"/>
          <w:numId w:val="1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Profile</w:t>
      </w:r>
      <w:r w:rsidDel="00000000" w:rsidR="00000000" w:rsidRPr="00000000">
        <w:rPr>
          <w:sz w:val="24"/>
          <w:szCs w:val="24"/>
          <w:rtl w:val="0"/>
        </w:rPr>
        <w:t xml:space="preserve">: Higher-income customers with active service utilization</w:t>
      </w:r>
    </w:p>
    <w:p w:rsidR="00000000" w:rsidDel="00000000" w:rsidP="00000000" w:rsidRDefault="00000000" w:rsidRPr="00000000" w14:paraId="0000002D">
      <w:pPr>
        <w:numPr>
          <w:ilvl w:val="0"/>
          <w:numId w:val="1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Behavior</w:t>
      </w:r>
      <w:r w:rsidDel="00000000" w:rsidR="00000000" w:rsidRPr="00000000">
        <w:rPr>
          <w:sz w:val="24"/>
          <w:szCs w:val="24"/>
          <w:rtl w:val="0"/>
        </w:rPr>
        <w:t xml:space="preserve">: High-value, frequent visitors, strong engagement</w:t>
      </w:r>
    </w:p>
    <w:p w:rsidR="00000000" w:rsidDel="00000000" w:rsidP="00000000" w:rsidRDefault="00000000" w:rsidRPr="00000000" w14:paraId="0000002E">
      <w:pPr>
        <w:numPr>
          <w:ilvl w:val="0"/>
          <w:numId w:val="1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Marketing Strategy:</w:t>
      </w:r>
      <w:r w:rsidDel="00000000" w:rsidR="00000000" w:rsidRPr="00000000">
        <w:rPr>
          <w:sz w:val="24"/>
          <w:szCs w:val="24"/>
          <w:rtl w:val="0"/>
        </w:rPr>
        <w:t xml:space="preserve"> Exclusive benefits, personalized service, premium quality</w:t>
      </w:r>
    </w:p>
    <w:p w:rsidR="00000000" w:rsidDel="00000000" w:rsidP="00000000" w:rsidRDefault="00000000" w:rsidRPr="00000000" w14:paraId="0000002F">
      <w:pPr>
        <w:numPr>
          <w:ilvl w:val="0"/>
          <w:numId w:val="1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Pricing Strategy: </w:t>
      </w:r>
      <w:r w:rsidDel="00000000" w:rsidR="00000000" w:rsidRPr="00000000">
        <w:rPr>
          <w:sz w:val="24"/>
          <w:szCs w:val="24"/>
          <w:rtl w:val="0"/>
        </w:rPr>
        <w:t xml:space="preserve">Develop premium tiers with added-value features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ind w:left="9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Cluster 1</w:t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Profile:</w:t>
      </w:r>
      <w:r w:rsidDel="00000000" w:rsidR="00000000" w:rsidRPr="00000000">
        <w:rPr>
          <w:sz w:val="24"/>
          <w:szCs w:val="24"/>
          <w:rtl w:val="0"/>
        </w:rPr>
        <w:t xml:space="preserve"> Lower-income customers with minimal engagement</w:t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Behavior</w:t>
      </w:r>
      <w:r w:rsidDel="00000000" w:rsidR="00000000" w:rsidRPr="00000000">
        <w:rPr>
          <w:sz w:val="24"/>
          <w:szCs w:val="24"/>
          <w:rtl w:val="0"/>
        </w:rPr>
        <w:t xml:space="preserve">: Price-sensitive, basic service usage, potential churn risk</w:t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Marketing Strategy:</w:t>
      </w:r>
      <w:r w:rsidDel="00000000" w:rsidR="00000000" w:rsidRPr="00000000">
        <w:rPr>
          <w:sz w:val="24"/>
          <w:szCs w:val="24"/>
          <w:rtl w:val="0"/>
        </w:rPr>
        <w:t xml:space="preserve"> Emphasize affordability, value-for-money, and cost savings</w:t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Pricing Strategy:</w:t>
      </w:r>
      <w:r w:rsidDel="00000000" w:rsidR="00000000" w:rsidRPr="00000000">
        <w:rPr>
          <w:sz w:val="24"/>
          <w:szCs w:val="24"/>
          <w:rtl w:val="0"/>
        </w:rPr>
        <w:t xml:space="preserve"> Introduce entry-level service packages</w:t>
      </w:r>
    </w:p>
    <w:p w:rsidR="00000000" w:rsidDel="00000000" w:rsidP="00000000" w:rsidRDefault="00000000" w:rsidRPr="00000000" w14:paraId="00000035">
      <w:pPr>
        <w:pStyle w:val="Heading2"/>
        <w:ind w:left="-270.00000000000006" w:firstLine="0"/>
        <w:rPr>
          <w:b w:val="1"/>
          <w:bCs w:val="1"/>
          <w:sz w:val="28"/>
          <w:szCs w:val="28"/>
        </w:rPr>
      </w:pPr>
      <w:bookmarkStart w:colFirst="0" w:colLast="0" w:name="_z1lm0fkuywad" w:id="6"/>
      <w:bookmarkEnd w:id="6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2.4 Critical Evaluation of Clustering Method</w:t>
      </w:r>
    </w:p>
    <w:p w:rsidR="00000000" w:rsidDel="00000000" w:rsidP="00000000" w:rsidRDefault="00000000" w:rsidRPr="00000000" w14:paraId="00000036">
      <w:pPr>
        <w:ind w:left="-270.00000000000006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K-means clustering was implemented since it has several strengths, including: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Simplicity: Easy interpretation for business stakeholders 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Scalability: Efficient for small dataset and scales well to larger data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Numerical suitability: Works well with continuous variables 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Fast computation: Converges quickly, ideal for exploratory analysis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Established methodology: Widely accepted in customer segmentation studies</w:t>
      </w:r>
    </w:p>
    <w:p w:rsidR="00000000" w:rsidDel="00000000" w:rsidP="00000000" w:rsidRDefault="00000000" w:rsidRPr="00000000" w14:paraId="0000003C">
      <w:pPr>
        <w:ind w:left="-270.00000000000006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-270.00000000000006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However, it does have certain limitations such as:</w:t>
      </w:r>
    </w:p>
    <w:p w:rsidR="00000000" w:rsidDel="00000000" w:rsidP="00000000" w:rsidRDefault="00000000" w:rsidRPr="00000000" w14:paraId="0000003E">
      <w:pPr>
        <w:numPr>
          <w:ilvl w:val="0"/>
          <w:numId w:val="9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K-means assumes circular clusters with equal variance</w:t>
      </w:r>
    </w:p>
    <w:p w:rsidR="00000000" w:rsidDel="00000000" w:rsidP="00000000" w:rsidRDefault="00000000" w:rsidRPr="00000000" w14:paraId="0000003F">
      <w:pPr>
        <w:numPr>
          <w:ilvl w:val="0"/>
          <w:numId w:val="9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More sensitive to outliers since cluster uses ‘mean’</w:t>
      </w:r>
    </w:p>
    <w:p w:rsidR="00000000" w:rsidDel="00000000" w:rsidP="00000000" w:rsidRDefault="00000000" w:rsidRPr="00000000" w14:paraId="00000040">
      <w:pPr>
        <w:numPr>
          <w:ilvl w:val="0"/>
          <w:numId w:val="9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Require to specify the number of k clusters beforehand</w:t>
      </w:r>
    </w:p>
    <w:p w:rsidR="00000000" w:rsidDel="00000000" w:rsidP="00000000" w:rsidRDefault="00000000" w:rsidRPr="00000000" w14:paraId="0000004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left="-270.00000000000006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Hence, as a next step we can consider other types of alternative clustering algorithms: 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-270.00000000000006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left="-270.00000000000006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30.0" w:type="dxa"/>
        <w:jc w:val="left"/>
        <w:tblInd w:w="-270.00000000000006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210"/>
        <w:gridCol w:w="3210"/>
        <w:gridCol w:w="3210"/>
        <w:tblGridChange w:id="0">
          <w:tblGrid>
            <w:gridCol w:w="3210"/>
            <w:gridCol w:w="3210"/>
            <w:gridCol w:w="3210"/>
          </w:tblGrid>
        </w:tblGridChange>
      </w:tblGrid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Clustering Algorithm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Concept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Strengths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DBSCAN (Density-Based Spatial Clustering)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Groups points in high-density regions, marks low-density points as outliers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27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Detects arbitrary-shaped clusters </w:t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27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Automatically identifies outliers </w:t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27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 need to specify k amount of clusters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Hierarchical Clustering (Agglomerative):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Builds dendrogram by iteratively merging closest clusters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numPr>
                <w:ilvl w:val="0"/>
                <w:numId w:val="1"/>
              </w:numPr>
              <w:spacing w:line="240" w:lineRule="auto"/>
              <w:ind w:left="360" w:hanging="27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Explores multiple k values without re-running algorithm</w:t>
            </w:r>
          </w:p>
          <w:p w:rsidR="00000000" w:rsidDel="00000000" w:rsidP="00000000" w:rsidRDefault="00000000" w:rsidRPr="00000000" w14:paraId="00000050">
            <w:pPr>
              <w:widowControl w:val="0"/>
              <w:numPr>
                <w:ilvl w:val="0"/>
                <w:numId w:val="1"/>
              </w:numPr>
              <w:spacing w:line="240" w:lineRule="auto"/>
              <w:ind w:left="360" w:hanging="27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Deterministic without any random initialisation</w:t>
            </w:r>
          </w:p>
        </w:tc>
      </w:tr>
    </w:tbl>
    <w:p w:rsidR="00000000" w:rsidDel="00000000" w:rsidP="00000000" w:rsidRDefault="00000000" w:rsidRPr="00000000" w14:paraId="00000051">
      <w:pPr>
        <w:ind w:left="-270.00000000000006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