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J - KPIs and Performance Measures (ID)</w:t>
      </w:r>
    </w:p>
    <w:p>
      <w:r>
        <w:t xml:space="preserve"># Lampiran J - KPIs and Performance Measures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J</w:t>
      </w:r>
    </w:p>
    <w:p>
      <w:r>
        <w:t xml:space="preserve">This appendix summarizes KPI scope relevant to Rodding Plant [INA-PL-RCP].</w:t>
      </w:r>
    </w:p>
    <w:p>
      <w:r>
        <w:t xml:space="preserve">## 2. KPI Inventory Summary</w:t>
      </w:r>
    </w:p>
    <w:p>
      <w:r>
        <w:t xml:space="preserve">| Code | Name | Priority | Granularity | Owner |</w:t>
      </w:r>
    </w:p>
    <w:p>
      <w:r>
        <w:t xml:space="preserve">| --- | --- | --- | --- | --- |</w:t>
      </w:r>
    </w:p>
    <w:p>
      <w:r>
        <w:t xml:space="preserve">| INA-KPI-005 | Anode Genealogy Completion (%) | High | Daily | To validate |</w:t>
      </w:r>
    </w:p>
    <w:p>
      <w:r>
        <w:t xml:space="preserve">| INA-KPI-012 | OEE (Availability/Performance/Quality) — Critical Lines | High | Daily | To validate |</w:t>
      </w:r>
    </w:p>
    <w:p>
      <w:r>
        <w:t xml:space="preserve">| INA-KPI-017 | SCADA Critical Alarm Response Time (median minutes) | High | Shift | To validate |</w:t>
      </w:r>
    </w:p>
    <w:p>
      <w:r>
        <w:t xml:space="preserve">| INA-KPI-018 | Historian Tag Data Completeness (%) | Med | Weekly | To validate |</w:t>
      </w:r>
    </w:p>
    <w:p>
      <w:r>
        <w:t xml:space="preserve">| INA-KPI-019 | Preventive Maintenance Compliance (%) | High | Weekly | To validate |</w:t>
      </w:r>
    </w:p>
    <w:p>
      <w:r>
        <w:t xml:space="preserve">| INA-KPI-020 | Maintenance Schedule Adherence (%) | High | Weekly | To validate |</w:t>
      </w:r>
    </w:p>
    <w:p>
      <w:r>
        <w:t xml:space="preserve">| INA-KPI-022 | MTBF — Critical Assets (hours) | High | Monthly | To validate |</w:t>
      </w:r>
    </w:p>
    <w:p>
      <w:r>
        <w:t xml:space="preserve">| INA-KPI-023 | MTTR — Critical Assets (hours) | High | Monthly | To validate |</w:t>
      </w:r>
    </w:p>
    <w:p>
      <w:r>
        <w:t xml:space="preserve">## 3. KPI Coverage by Function Group</w:t>
      </w:r>
    </w:p>
    <w:p>
      <w:r>
        <w:t xml:space="preserve">- Production KPIs focus on yield, plan adherence, current efficiency, and casting performance.</w:t>
      </w:r>
    </w:p>
    <w:p>
      <w:r>
        <w:t xml:space="preserve">- Utilities KPIs focus on generation availability, energy intensity, peak demand, and outage minutes.</w:t>
      </w:r>
    </w:p>
    <w:p>
      <w:r>
        <w:t xml:space="preserve">- Maintenance KPIs focus on PM compliance, adherence, backlog, MTBF, MTTR, and CBM alert closure.</w:t>
      </w:r>
    </w:p>
    <w:p>
      <w:r>
        <w:t xml:space="preserve">- Quality KPIs focus on lab turnaround, CoA issuance, nonconformance rate, CAPA closure, and SPC occurrence.</w:t>
      </w:r>
    </w:p>
    <w:p>
      <w:r>
        <w:t xml:space="preserve">## 4. Performance Governance Gaps</w:t>
      </w:r>
    </w:p>
    <w:p>
      <w:r>
        <w:t xml:space="preserve">- The findings state that no SPC is implemented throughout the business and production process.</w:t>
      </w:r>
    </w:p>
    <w:p>
      <w:r>
        <w:t xml:space="preserve">- Manual time capture and unreliable Excel data weaken KPI trust even where KPI definitions exist.</w:t>
      </w:r>
    </w:p>
    <w:p>
      <w:r>
        <w:t xml:space="preserve">- Several planning and stock-visibility decisions are still made through draft schedules and manual previews.</w:t>
      </w:r>
    </w:p>
    <w:p>
      <w:r>
        <w:t xml:space="preserve">## 5. Summary</w:t>
      </w:r>
    </w:p>
    <w:p>
      <w:r>
        <w:t xml:space="preserve">The KPI library is mature on paper, but performance governance remains basic because evidence capture, data completeness, and exception handling are not yet consistently digitalized.</w:t>
      </w:r>
    </w:p>
    <w:sectPr/>
  </w:body>
</w:document>
</file>