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N - Vertical Integration (ID)</w:t>
      </w:r>
    </w:p>
    <w:p>
      <w:r>
        <w:t xml:space="preserve"># Lampiran N - Vertical Integration</w:t>
      </w:r>
    </w:p>
    <w:p>
      <w:r>
        <w:t xml:space="preserve">RODDING PLANT (INA-PL-RCP)</w:t>
      </w:r>
    </w:p>
    <w:p>
      <w:r>
        <w:t xml:space="preserve">Document Date: 14 March 2026</w:t>
      </w:r>
    </w:p>
    <w:p>
      <w:r>
        <w:t xml:space="preserve">## 1. Purpose of Appendix N</w:t>
      </w:r>
    </w:p>
    <w:p>
      <w:r>
        <w:t xml:space="preserve">This appendix assesses vertical integration posture for Rodding Plant [INA-PL-RCP].</w:t>
      </w:r>
    </w:p>
    <w:p>
      <w:r>
        <w:t xml:space="preserve">## 2. OT to IT Interface Summary</w:t>
      </w:r>
    </w:p>
    <w:p>
      <w:r>
        <w:t xml:space="preserve">The evidence shows partial OT-to-IT continuity at best. Draft schedules, PDF approvals, manual Excel uploads, and email-based report circulation appear repeatedly in the source. This indicates that information moves across organizational boundaries, but not yet through a single trusted digital backbone.</w:t>
      </w:r>
    </w:p>
    <w:p>
      <w:r>
        <w:t xml:space="preserve">## 3. Digital Island Assessment</w:t>
      </w:r>
    </w:p>
    <w:p>
      <w:r>
        <w:t xml:space="preserve">- Rodding execution, lab reporting, planning handoff, and maintenance evidence each retain separate manual or semi-digital records.</w:t>
      </w:r>
    </w:p>
    <w:p>
      <w:r>
        <w:t xml:space="preserve">- SCADA visibility is partial and does not cover all critical measurements or event histories.</w:t>
      </w:r>
    </w:p>
    <w:p>
      <w:r>
        <w:t xml:space="preserve">- Quality and planning workflows depend on manual reconciliation rather than transaction-level integration.</w:t>
      </w:r>
    </w:p>
    <w:p>
      <w:r>
        <w:t xml:space="preserve">## 4. Vertical Integration Gaps</w:t>
      </w:r>
    </w:p>
    <w:p>
      <w:r>
        <w:t xml:space="preserve">- No trusted single event history spans production, quality, and maintenance for the same asset or anode record.</w:t>
      </w:r>
    </w:p>
    <w:p>
      <w:r>
        <w:t xml:space="preserve">- File- and email-based approvals delay the conversion of operational data into shared decisions.</w:t>
      </w:r>
    </w:p>
    <w:p>
      <w:r>
        <w:t xml:space="preserve">- Stock visibility and downstream coordination rely on manual preview and feedback loops.</w:t>
      </w:r>
    </w:p>
    <w:p>
      <w:r>
        <w:t xml:space="preserve">## 5. Summary</w:t>
      </w:r>
    </w:p>
    <w:p>
      <w:r>
        <w:t xml:space="preserve">Vertical integration remains at an initial-to-basic level. The observation is fragmented information transfer. The operational effect is delayed coordination and weak traceability. The business risk is slower response and lower confidence in planning or quality release. The digital implication is that integration should start with trusted event and identity records before higher-level analytics are expected to scale.</w:t>
      </w:r>
    </w:p>
    <w:sectPr/>
  </w:body>
</w:document>
</file>