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Appendix O - Automation Assessment (ID)</w:t>
      </w:r>
    </w:p>
    <w:p>
      <w:r>
        <w:t xml:space="preserve"># Lampiran O - Automation Assessment</w:t>
      </w:r>
    </w:p>
    <w:p>
      <w:r>
        <w:t xml:space="preserve">RODDING PLANT (INA-PL-RCP)</w:t>
      </w:r>
    </w:p>
    <w:p>
      <w:r>
        <w:t xml:space="preserve">Document Date: 14 March 2026</w:t>
      </w:r>
    </w:p>
    <w:p>
      <w:r>
        <w:t xml:space="preserve">## 1. Purpose of Appendix O</w:t>
      </w:r>
    </w:p>
    <w:p>
      <w:r>
        <w:t xml:space="preserve">This appendix packages the local automation assessment for Rodding Plant [INA-PL-RCP] in a board-ready structure focused on L1-L3 scope.</w:t>
      </w:r>
    </w:p>
    <w:p>
      <w:r>
        <w:t xml:space="preserve">## 2. Assessment Purpose and Boundaries</w:t>
      </w:r>
    </w:p>
    <w:p>
      <w:r>
        <w:t xml:space="preserve">- **Purpose:** Establish L1-L3 readiness and constraints for Rodding Plant as an input to the digital feasibility study.</w:t>
      </w:r>
    </w:p>
    <w:p>
      <w:r>
        <w:t xml:space="preserve">- **In scope:** 17 process groups recorded for INA-PL-RCP, plus shared utilities and interfaces evidenced in the plant dataset.</w:t>
      </w:r>
    </w:p>
    <w:p>
      <w:r>
        <w:t xml:space="preserve">- **Out of scope:** business case quantification, full enterprise architecture alignment, and solution deployment claims.</w:t>
      </w:r>
    </w:p>
    <w:p>
      <w:r>
        <w:t xml:space="preserve">## 3. Information Sources and Interpretation Rules</w:t>
      </w:r>
    </w:p>
    <w:p>
      <w:r>
        <w:t xml:space="preserve">- Evidence comes from structured plant tables, field findings, issue logs, and elicitation results.</w:t>
      </w:r>
    </w:p>
    <w:p>
      <w:r>
        <w:t xml:space="preserve">- Explicit To validate and unknown markers are preserved without forced resolution.</w:t>
      </w:r>
    </w:p>
    <w:p>
      <w:r>
        <w:t xml:space="preserve">- Interpretation is conservative where as-built details are incomplete.</w:t>
      </w:r>
    </w:p>
    <w:p>
      <w:r>
        <w:t xml:space="preserve">## 4. Plant Baseline and Automation Snapshot</w:t>
      </w:r>
    </w:p>
    <w:p>
      <w:r>
        <w:t xml:space="preserve">| Metric | Value |</w:t>
      </w:r>
    </w:p>
    <w:p>
      <w:r>
        <w:t xml:space="preserve">| --- | --- |</w:t>
      </w:r>
    </w:p>
    <w:p>
      <w:r>
        <w:t xml:space="preserve">| Total instruments | 670 |</w:t>
      </w:r>
    </w:p>
    <w:p>
      <w:r>
        <w:t xml:space="preserve">| PLC readable | 544 |</w:t>
      </w:r>
    </w:p>
    <w:p>
      <w:r>
        <w:t xml:space="preserve">| Relay | 28 |</w:t>
      </w:r>
    </w:p>
    <w:p>
      <w:r>
        <w:t xml:space="preserve">| Closed loop | 0 |</w:t>
      </w:r>
    </w:p>
    <w:p>
      <w:r>
        <w:t xml:space="preserve">| Obtained | 488 |</w:t>
      </w:r>
    </w:p>
    <w:p>
      <w:r>
        <w:t xml:space="preserve">| Inferred | 182 |</w:t>
      </w:r>
    </w:p>
    <w:p>
      <w:r>
        <w:t xml:space="preserve">| PLC rows | 10 |</w:t>
      </w:r>
    </w:p>
    <w:p>
      <w:r>
        <w:t xml:space="preserve">| SCADA rows | 2 |</w:t>
      </w:r>
    </w:p>
    <w:p>
      <w:r>
        <w:t xml:space="preserve">## 5. Cross-Cutting Themes and Gaps</w:t>
      </w:r>
    </w:p>
    <w:p>
      <w:r>
        <w:t xml:space="preserve">- Manual data capture remains a plantwide constraint for production, quality, and planning interfaces.</w:t>
      </w:r>
    </w:p>
    <w:p>
      <w:r>
        <w:t xml:space="preserve">- Dust, heat, and harsh operating conditions degrade sensor reliability and field trust.</w:t>
      </w:r>
    </w:p>
    <w:p>
      <w:r>
        <w:t xml:space="preserve">- Alarm/event history and automatic interlock enforcement are inconsistent across critical stations.</w:t>
      </w:r>
    </w:p>
    <w:p>
      <w:r>
        <w:t xml:space="preserve">## 6. L1-L3 Readiness Summary</w:t>
      </w:r>
    </w:p>
    <w:p>
      <w:r>
        <w:t xml:space="preserve">| Layer | Assessment |</w:t>
      </w:r>
    </w:p>
    <w:p>
      <w:r>
        <w:t xml:space="preserve">| --- | --- |</w:t>
      </w:r>
    </w:p>
    <w:p>
      <w:r>
        <w:t xml:space="preserve">| L1 - Basic Control | Present but lifecycle-exposed; several controllers and interfaces require retrofit or renewal. |</w:t>
      </w:r>
    </w:p>
    <w:p>
      <w:r>
        <w:t xml:space="preserve">| L2 - Supervisory | Partial; supervisory visibility exists but is incomplete and not consistently trusted. |</w:t>
      </w:r>
    </w:p>
    <w:p>
      <w:r>
        <w:t xml:space="preserve">| L3 - Operations Management | Basic; workflows rely on paper, Excel, email, and manual reconciliation. |</w:t>
      </w:r>
    </w:p>
    <w:p>
      <w:r>
        <w:t xml:space="preserve">## 7. Process Group Assessment Notes</w:t>
      </w:r>
    </w:p>
    <w:p>
      <w:r>
        <w:t xml:space="preserve">- RCP Used Anode Receiving &amp; Power-Free Conveyor (LO-401 / CR-401) [INA-PG-RCP-001] carries the note: Controls the unloading/loading sequence from the anode transport car onto the power-free conveyor, including conveyor permissives, indexing/accumulation logic, jam handling, and s....</w:t>
      </w:r>
    </w:p>
    <w:p>
      <w:r>
        <w:t xml:space="preserve">- RCP Butt &amp; Timbel Crushing / Pressing (PR-401/402, CR-401/402) [INA-PG-RCP-002] carries the note: Automates crushing cycles for used anode butts and pig-iron connection handling with hydraulic sequencing, guarding interlocks, overload and jam logic..</w:t>
      </w:r>
    </w:p>
    <w:p>
      <w:r>
        <w:t xml:space="preserve">- RCP Crushed Butt &amp; Return Crust Conveying to Bins [INA-PG-RCP-003] carries the note: Controls conveyors, diverters, and interlocks that route crushed butt and return crust to designated bins..</w:t>
      </w:r>
    </w:p>
    <w:p>
      <w:r>
        <w:t xml:space="preserve">- RCP Crust Removal &amp; Shot Blasting / Cleaning (SH-401, SH-405 + Return Crust Removal Station) [INA-PG-RCP-004] carries the note: Controls cleaning stations, guard interlocks, blast permissives, extraction permissives, and fault handling..</w:t>
      </w:r>
    </w:p>
    <w:p>
      <w:r>
        <w:t xml:space="preserve">- RCP Nipple Cleaning + Graphite Coating + Nipple Drying (SH-402, GC-401, DR-401) [INA-PG-RCP-005] carries the note: Automates cleaning, coating, drying sequences and utility permissives..</w:t>
      </w:r>
    </w:p>
    <w:p>
      <w:r>
        <w:t xml:space="preserve">## 8. Technical Roadmap Direction</w:t>
      </w:r>
    </w:p>
    <w:p>
      <w:r>
        <w:t xml:space="preserve">- Stabilize instrumentation, signal logging, and interlock integrity in the most safety- and throughput-sensitive stations.</w:t>
      </w:r>
    </w:p>
    <w:p>
      <w:r>
        <w:t xml:space="preserve">- Normalize PLC and SCADA visibility across retrofit-priority process groups.</w:t>
      </w:r>
    </w:p>
    <w:p>
      <w:r>
        <w:t xml:space="preserve">- Establish trusted runtime, event, and genealogy capture before extending into predictive or advisory layers.</w:t>
      </w:r>
    </w:p>
    <w:p>
      <w:r>
        <w:t xml:space="preserve">## 9. Summary</w:t>
      </w:r>
    </w:p>
    <w:p>
      <w:r>
        <w:t xml:space="preserve">Appendix O confirms that INA-PL-RCP has enough existing control infrastructure to justify structured modernization, but not enough current data integrity to skip foundational stabilization.</w:t>
      </w:r>
    </w:p>
    <w:sectPr/>
  </w:body>
</w:document>
</file>