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F - Mobile Assets (JA)</w:t>
      </w:r>
    </w:p>
    <w:p>
      <w:r>
        <w:t xml:space="preserve"># 付録 F - Mobile Assets</w:t>
      </w:r>
    </w:p>
    <w:p>
      <w:r>
        <w:t xml:space="preserve">RODDING PLANT (INA-PL-RCP)</w:t>
      </w:r>
    </w:p>
    <w:p>
      <w:r>
        <w:t xml:space="preserve">Document Date: 14 March 2026</w:t>
      </w:r>
    </w:p>
    <w:p>
      <w:r>
        <w:t xml:space="preserve">## 1. Purpose of Appendix F</w:t>
      </w:r>
    </w:p>
    <w:p>
      <w:r>
        <w:t xml:space="preserve">This appendix captures mobile-asset evidence linked to Rodding Plant [INA-PL-RCP].</w:t>
      </w:r>
    </w:p>
    <w:p>
      <w:r>
        <w:t xml:space="preserve">## 2. Mobile Asset Inventory</w:t>
      </w:r>
    </w:p>
    <w:p>
      <w:r>
        <w:t xml:space="preserve">| Code | Vehicle/Mobile Asset | Category | Typical Use | Energy/Fuel |</w:t>
      </w:r>
    </w:p>
    <w:p>
      <w:r>
        <w:t xml:space="preserve">| --- | --- | --- | --- | --- |</w:t>
      </w:r>
    </w:p>
    <w:p>
      <w:r>
        <w:t xml:space="preserve">| INA-VEH-RCP-001 | INA-VHT-MTC | Transport | Site note mentions “MTC weigher” under Rodding Plant; To validate — confirm vehicle identity and whether this is molten MTC vs anode transport movement. | To validate |</w:t>
      </w:r>
    </w:p>
    <w:p>
      <w:r>
        <w:t xml:space="preserve">## 3. Operational Dependency</w:t>
      </w:r>
    </w:p>
    <w:p>
      <w:r>
        <w:t xml:space="preserve">The vehicle register is sparse, but the findings show that transport timing and receiving confirmation remain important for rodding and downstream reduction coordination. Where mobile assets are weakly identified, operational planning becomes dependent on personal follow-up rather than governed asset visibility.</w:t>
      </w:r>
    </w:p>
    <w:p>
      <w:r>
        <w:t xml:space="preserve">## 4. Data and Traceability Gaps</w:t>
      </w:r>
    </w:p>
    <w:p>
      <w:r>
        <w:t xml:space="preserve">- [To validate - mobile asset identity - the MTC reference is not fully classified in the source table]</w:t>
      </w:r>
    </w:p>
    <w:p>
      <w:r>
        <w:t xml:space="preserve">- [To validate - mobile telemetry coverage - no telemetry or runtime capture is provided for plant vehicles]</w:t>
      </w:r>
    </w:p>
    <w:p>
      <w:r>
        <w:t xml:space="preserve">## 5. Summary</w:t>
      </w:r>
    </w:p>
    <w:p>
      <w:r>
        <w:t xml:space="preserve">Mobile asset evidence is currently insufficient for strong automation conclusions. The plant should treat this as a traceability gap rather than assume the scope is immaterial.</w:t>
      </w:r>
    </w:p>
    <w:sectPr/>
  </w:body>
</w:document>
</file>