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I - Procedures Covered (ID)</w:t>
      </w:r>
    </w:p>
    <w:p>
      <w:r>
        <w:t xml:space="preserve"># Lampiran I - Procedures Covered</w:t>
      </w:r>
    </w:p>
    <w:p>
      <w:r>
        <w:t xml:space="preserve">RODDING PLANT (INA-PL-RCP)</w:t>
      </w:r>
    </w:p>
    <w:p>
      <w:r>
        <w:t xml:space="preserve">Document Date: 14 March 2026</w:t>
      </w:r>
    </w:p>
    <w:p>
      <w:r>
        <w:t xml:space="preserve">## 1. Purpose of Appendix I</w:t>
      </w:r>
    </w:p>
    <w:p>
      <w:r>
        <w:t xml:space="preserve">This appendix documents procedure coverage relevant to Rodding Plant [INA-PL-RCP].</w:t>
      </w:r>
    </w:p>
    <w:p>
      <w:r>
        <w:t xml:space="preserve">## 2. Procedure Inventory</w:t>
      </w:r>
    </w:p>
    <w:p>
      <w:r>
        <w:t xml:space="preserve">| Code | Procedure Name | Concept Notes |</w:t>
      </w:r>
    </w:p>
    <w:p>
      <w:r>
        <w:t xml:space="preserve">| --- | --- | --- |</w:t>
      </w:r>
    </w:p>
    <w:p>
      <w:r>
        <w:t xml:space="preserve">| INA-PRC-049 | Preventive Maintenance Execution (Plant) | PM execution, confirmations, and compliance reporting |</w:t>
      </w:r>
    </w:p>
    <w:p>
      <w:r>
        <w:t xml:space="preserve">| INA-PRC-051 | Shutdown &amp; Turnaround Maintenance Management | Major shutdown planning, execution control, and closeout |</w:t>
      </w:r>
    </w:p>
    <w:p>
      <w:r>
        <w:t xml:space="preserve">| INA-PRC-052 | Condition-Based Maintenance Monitoring &amp; Alerts | Condition monitoring thresholds and action triggers |</w:t>
      </w:r>
    </w:p>
    <w:p>
      <w:r>
        <w:t xml:space="preserve">| INA-PRC-053 | Predictive Maintenance Analytics (ML/AI) | Model-based prediction, anomaly detection, and intervention planning |</w:t>
      </w:r>
    </w:p>
    <w:p>
      <w:r>
        <w:t xml:space="preserve">| INA-PRC-074 | Process Optimization &amp; Digital Twin Model Management | Maintain process models, calibrate vs reality, scenario testing |</w:t>
      </w:r>
    </w:p>
    <w:p>
      <w:r>
        <w:t xml:space="preserve">| INA-PRC-075 | Decision Support Cockpit (Production/Energy/Reliability) | Management cockpit for integrated KPIs and decision workflows |</w:t>
      </w:r>
    </w:p>
    <w:p>
      <w:r>
        <w:t xml:space="preserve">| INA-PRC-076 | OT Cybersecurity &amp; Network Hardening (Asset/SCADA) | Asset inventory, segmentation, hardening, monitoring, incident handling |</w:t>
      </w:r>
    </w:p>
    <w:p>
      <w:r>
        <w:t xml:space="preserve">| INA-PRC-077 | Dual SCADA Architecture Governance &amp; Lifecycle | Architecture standards, redundancy testing, change control |</w:t>
      </w:r>
    </w:p>
    <w:p>
      <w:r>
        <w:t xml:space="preserve">| INA-PRC-085 | Manufacturing Data Integration &amp; MES–QMS/LIMS Orchestration | Orchestrate quality gates and ensure data lineage across systems |</w:t>
      </w:r>
    </w:p>
    <w:p>
      <w:r>
        <w:t xml:space="preserve">| INA-PRC-098 | Lubrication Route Planning &amp; Execution (Plant-wide) | Route-based lubrication with readings, exceptions, and compliance dashboards |</w:t>
      </w:r>
    </w:p>
    <w:p>
      <w:r>
        <w:t xml:space="preserve">| INA-PRC-099 | Instrument/Analyzer Calibration Work Management | Calibration work orders, schedules, evidence capture, and expiry alerts for critical instruments |</w:t>
      </w:r>
    </w:p>
    <w:p>
      <w:r>
        <w:t xml:space="preserve">| INA-PRC-126 | Anode Location Audit, Cycle Count &amp; Exception Handling | Verify anode locations/status vs physical; resolve exceptions/holds and ensure traceability |</w:t>
      </w:r>
    </w:p>
    <w:p>
      <w:r>
        <w:t xml:space="preserve">## 3. Maintenance and Reliability Procedures</w:t>
      </w:r>
    </w:p>
    <w:p>
      <w:r>
        <w:t xml:space="preserve">- Preventive Maintenance Execution (Plant) [INA-PRC-049] provides governed intent, but field findings still show reactive conditions, sensor gaps, and long spare-part lead times.</w:t>
      </w:r>
    </w:p>
    <w:p>
      <w:r>
        <w:t xml:space="preserve">- Shutdown &amp; Turnaround Maintenance Management [INA-PRC-051] provides governed intent, but field findings still show reactive conditions, sensor gaps, and long spare-part lead times.</w:t>
      </w:r>
    </w:p>
    <w:p>
      <w:r>
        <w:t xml:space="preserve">- Condition-Based Maintenance Monitoring &amp; Alerts [INA-PRC-052] provides governed intent, but field findings still show reactive conditions, sensor gaps, and long spare-part lead times.</w:t>
      </w:r>
    </w:p>
    <w:p>
      <w:r>
        <w:t xml:space="preserve">- Predictive Maintenance Analytics (ML/AI) [INA-PRC-053] provides governed intent, but field findings still show reactive conditions, sensor gaps, and long spare-part lead times.</w:t>
      </w:r>
    </w:p>
    <w:p>
      <w:r>
        <w:t xml:space="preserve">- Lubrication Route Planning &amp; Execution (Plant-wide) [INA-PRC-098] provides governed intent, but field findings still show reactive conditions, sensor gaps, and long spare-part lead times.</w:t>
      </w:r>
    </w:p>
    <w:p>
      <w:r>
        <w:t xml:space="preserve">- Instrument/Analyzer Calibration Work Management [INA-PRC-099] provides governed intent, but field findings still show reactive conditions, sensor gaps, and long spare-part lead times.</w:t>
      </w:r>
    </w:p>
    <w:p>
      <w:r>
        <w:t xml:space="preserve">## 4. Control and Governance Coverage</w:t>
      </w:r>
    </w:p>
    <w:p>
      <w:r>
        <w:t xml:space="preserve">- Decision Support Cockpit (Production/Energy/Reliability) [INA-PRC-075] indicates governance scope exists on paper, but field evidence remains partial or to validate.</w:t>
      </w:r>
    </w:p>
    <w:p>
      <w:r>
        <w:t xml:space="preserve">- OT Cybersecurity &amp; Network Hardening (Asset/SCADA) [INA-PRC-076] indicates governance scope exists on paper, but field evidence remains partial or to validate.</w:t>
      </w:r>
    </w:p>
    <w:p>
      <w:r>
        <w:t xml:space="preserve">- Dual SCADA Architecture Governance &amp; Lifecycle [INA-PRC-077] indicates governance scope exists on paper, but field evidence remains partial or to validate.</w:t>
      </w:r>
    </w:p>
    <w:p>
      <w:r>
        <w:t xml:space="preserve">- Manufacturing Data Integration &amp; MES–QMS/LIMS Orchestration [INA-PRC-085] indicates governance scope exists on paper, but field evidence remains partial or to validate.</w:t>
      </w:r>
    </w:p>
    <w:p>
      <w:r>
        <w:t xml:space="preserve">## 5. Summary</w:t>
      </w:r>
    </w:p>
    <w:p>
      <w:r>
        <w:t xml:space="preserve">Procedure coverage is broader than field execution maturity. The observation is that governance documents exist. The operational effect is that staff can reference formal intent. The business risk is that incomplete instrumentation and manual capture still undermine execution consistency. The digital implication is that procedure presence must not be mistaken for deployed control maturity.</w:t>
      </w:r>
    </w:p>
    <w:sectPr/>
  </w:body>
</w:document>
</file>