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G - Organizational Scope (JA)</w:t>
      </w:r>
    </w:p>
    <w:p>
      <w:r>
        <w:t xml:space="preserve"># 付録 G - Organizational Scope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G</w:t>
      </w:r>
    </w:p>
    <w:p>
      <w:r>
        <w:t xml:space="preserve">This appendix defines the organizational scope participating in Rodding Plant [INA-PL-RCP].</w:t>
      </w:r>
    </w:p>
    <w:p>
      <w:r>
        <w:t xml:space="preserve">## 2. Department Coverage</w:t>
      </w:r>
    </w:p>
    <w:p>
      <w:r>
        <w:t xml:space="preserve">| Code | Department | Description |</w:t>
      </w:r>
    </w:p>
    <w:p>
      <w:r>
        <w:t xml:space="preserve">| --- | --- | --- |</w:t>
      </w:r>
    </w:p>
    <w:p>
      <w:r>
        <w:t xml:space="preserve">| INA-DPT-001 | SCB – Divisi Karbon | Operasi dan pengelolaan proses karbon |</w:t>
      </w:r>
    </w:p>
    <w:p>
      <w:r>
        <w:t xml:space="preserve">| INA-DPT-003 | SGM – Divisi Pemeliharaan | Pemeliharaan pabrik dan fasilitas |</w:t>
      </w:r>
    </w:p>
    <w:p>
      <w:r>
        <w:t xml:space="preserve">| INA-DPT-006 | IPE – Divisi Rekayasa Proses | Engineering proses &amp; mutu |</w:t>
      </w:r>
    </w:p>
    <w:p>
      <w:r>
        <w:t xml:space="preserve">| INA-DPT-019 | IMT – Divisi Teknologi Informasi &amp; MSI | IT &amp; digital |</w:t>
      </w:r>
    </w:p>
    <w:p>
      <w:r>
        <w:t xml:space="preserve">## 3. Section Coverage</w:t>
      </w:r>
    </w:p>
    <w:p>
      <w:r>
        <w:t xml:space="preserve">| Code | Section | Description |</w:t>
      </w:r>
    </w:p>
    <w:p>
      <w:r>
        <w:t xml:space="preserve">| --- | --- | --- |</w:t>
      </w:r>
    </w:p>
    <w:p>
      <w:r>
        <w:t xml:space="preserve">| INA-SEC-002 | SCO – Operasi Karbon | Operasi pabrik karbon |</w:t>
      </w:r>
    </w:p>
    <w:p>
      <w:r>
        <w:t xml:space="preserve">| INA-SEC-007 | SMO – Pemeliharaan Karbon | Maintenance karbon |</w:t>
      </w:r>
    </w:p>
    <w:p>
      <w:r>
        <w:t xml:space="preserve">| INA-SEC-011 | SPE – Rekayasa Proses | Engineering proses |</w:t>
      </w:r>
    </w:p>
    <w:p>
      <w:r>
        <w:t xml:space="preserve">| INA-SEC-027 | SIT – Solusi &amp; Digitalisasi TI | Digital |</w:t>
      </w:r>
    </w:p>
    <w:p>
      <w:r>
        <w:t xml:space="preserve">| INA-SEC-028 | SIS – Infrastruktur &amp; Keamanan TI | Infra &amp; Security |</w:t>
      </w:r>
    </w:p>
    <w:p>
      <w:r>
        <w:t xml:space="preserve">## 4. Functional Accountability Themes</w:t>
      </w:r>
    </w:p>
    <w:p>
      <w:r>
        <w:t xml:space="preserve">- Carbon operations, maintenance, process engineering, and IT/digital functions all appear in the plant scope, confirming that automation improvement is cross-functional rather than purely operational.</w:t>
      </w:r>
    </w:p>
    <w:p>
      <w:r>
        <w:t xml:space="preserve">- QA and safety roles appear in findings and files-used evidence even where their organizational rows are incomplete in the reduced dataset provided for this plant.</w:t>
      </w:r>
    </w:p>
    <w:p>
      <w:r>
        <w:t xml:space="preserve">- The governance implication is that control, data, and quality issues cannot be resolved inside one department boundary alone.</w:t>
      </w:r>
    </w:p>
    <w:p>
      <w:r>
        <w:t xml:space="preserve">## 5. Summary</w:t>
      </w:r>
    </w:p>
    <w:p>
      <w:r>
        <w:t xml:space="preserve">The organization required to stabilize Rodding Plant spans operations, maintenance, engineering, quality, safety, and digital teams. Accountability already exists in fragments; the gap is coordinated execution and shared evidence.</w:t>
      </w:r>
    </w:p>
    <w:sectPr/>
  </w:body>
</w:document>
</file>