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sz w:val="44"/>
          <w:szCs w:val="44"/>
        </w:rPr>
        <w:t xml:space="preserve">LAPORAN LK-11</w:t>
      </w:r>
    </w:p>
    <w:p>
      <w:pPr>
        <w:spacing w:after="200"/>
        <w:jc w:val="center"/>
      </w:pPr>
      <w:r>
        <w:rPr>
          <w:rFonts w:ascii="Arial" w:cs="Arial" w:eastAsia="Arial" w:hAnsi="Arial"/>
          <w:b/>
          <w:bCs/>
          <w:sz w:val="32"/>
          <w:szCs w:val="32"/>
        </w:rPr>
        <w:t xml:space="preserve">Implementasi Observability dan Dashboard</w:t>
      </w:r>
    </w:p>
    <w:p>
      <w:pPr>
        <w:spacing w:after="600"/>
        <w:jc w:val="center"/>
      </w:pPr>
      <w:r>
        <w:rPr>
          <w:rFonts w:ascii="Arial" w:cs="Arial" w:eastAsia="Arial" w:hAnsi="Arial"/>
          <w:i/>
          <w:iCs/>
          <w:sz w:val="24"/>
          <w:szCs w:val="24"/>
        </w:rPr>
        <w:t xml:space="preserve">Proyek: FireGuard — Forest Fire Hotspot Detection</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tblGrid>
      <w:tr>
        <w:tc>
          <w:tcPr>
            <w:tcW w:type="dxa" w:w="2400"/>
            <w:tcBorders>
              <w:top w:val="single" w:color="000000" w:sz="4"/>
              <w:left w:val="single" w:color="000000" w:sz="4"/>
              <w:bottom w:val="single" w:color="000000" w:sz="4"/>
              <w:right w:val="single" w:color="000000" w:sz="4"/>
            </w:tcBorders>
            <w:shd w:fill="BFBFBF" w:color="auto" w:val="clear"/>
            <w:tcMar>
              <w:top w:type="dxa" w:w="80"/>
              <w:left w:type="dxa" w:w="100"/>
              <w:bottom w:type="dxa" w:w="80"/>
              <w:right w:type="dxa" w:w="100"/>
            </w:tcMar>
          </w:tcPr>
          <w:p>
            <w:r>
              <w:rPr>
                <w:rFonts w:ascii="Arial" w:cs="Arial" w:eastAsia="Arial" w:hAnsi="Arial"/>
                <w:b/>
                <w:bCs/>
                <w:sz w:val="20"/>
                <w:szCs w:val="20"/>
              </w:rPr>
              <w:t xml:space="preserve">Nama</w:t>
            </w:r>
          </w:p>
        </w:tc>
        <w:tc>
          <w:tcPr>
            <w:tcW w:type="dxa" w:w="4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Muhamad Fa'iz Al Akbar</w:t>
            </w:r>
          </w:p>
        </w:tc>
      </w:tr>
      <w:tr>
        <w:tc>
          <w:tcPr>
            <w:tcW w:type="dxa" w:w="2400"/>
            <w:tcBorders>
              <w:top w:val="single" w:color="000000" w:sz="4"/>
              <w:left w:val="single" w:color="000000" w:sz="4"/>
              <w:bottom w:val="single" w:color="000000" w:sz="4"/>
              <w:right w:val="single" w:color="000000" w:sz="4"/>
            </w:tcBorders>
            <w:shd w:fill="BFBFBF" w:color="auto" w:val="clear"/>
            <w:tcMar>
              <w:top w:type="dxa" w:w="80"/>
              <w:left w:type="dxa" w:w="100"/>
              <w:bottom w:type="dxa" w:w="80"/>
              <w:right w:type="dxa" w:w="100"/>
            </w:tcMar>
          </w:tcPr>
          <w:p>
            <w:r>
              <w:rPr>
                <w:rFonts w:ascii="Arial" w:cs="Arial" w:eastAsia="Arial" w:hAnsi="Arial"/>
                <w:b/>
                <w:bCs/>
                <w:sz w:val="20"/>
                <w:szCs w:val="20"/>
              </w:rPr>
              <w:t xml:space="preserve">NIM</w:t>
            </w:r>
          </w:p>
        </w:tc>
        <w:tc>
          <w:tcPr>
            <w:tcW w:type="dxa" w:w="4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235150201111010</w:t>
            </w:r>
          </w:p>
        </w:tc>
      </w:tr>
      <w:tr>
        <w:tc>
          <w:tcPr>
            <w:tcW w:type="dxa" w:w="2400"/>
            <w:tcBorders>
              <w:top w:val="single" w:color="000000" w:sz="4"/>
              <w:left w:val="single" w:color="000000" w:sz="4"/>
              <w:bottom w:val="single" w:color="000000" w:sz="4"/>
              <w:right w:val="single" w:color="000000" w:sz="4"/>
            </w:tcBorders>
            <w:shd w:fill="BFBFBF" w:color="auto" w:val="clear"/>
            <w:tcMar>
              <w:top w:type="dxa" w:w="80"/>
              <w:left w:type="dxa" w:w="100"/>
              <w:bottom w:type="dxa" w:w="80"/>
              <w:right w:type="dxa" w:w="100"/>
            </w:tcMar>
          </w:tcPr>
          <w:p>
            <w:r>
              <w:rPr>
                <w:rFonts w:ascii="Arial" w:cs="Arial" w:eastAsia="Arial" w:hAnsi="Arial"/>
                <w:b/>
                <w:bCs/>
                <w:sz w:val="20"/>
                <w:szCs w:val="20"/>
              </w:rPr>
              <w:t xml:space="preserve">Mata Kuliah</w:t>
            </w:r>
          </w:p>
        </w:tc>
        <w:tc>
          <w:tcPr>
            <w:tcW w:type="dxa" w:w="4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MLOps</w:t>
            </w:r>
          </w:p>
        </w:tc>
      </w:tr>
      <w:tr>
        <w:tc>
          <w:tcPr>
            <w:tcW w:type="dxa" w:w="2400"/>
            <w:tcBorders>
              <w:top w:val="single" w:color="000000" w:sz="4"/>
              <w:left w:val="single" w:color="000000" w:sz="4"/>
              <w:bottom w:val="single" w:color="000000" w:sz="4"/>
              <w:right w:val="single" w:color="000000" w:sz="4"/>
            </w:tcBorders>
            <w:shd w:fill="BFBFBF" w:color="auto" w:val="clear"/>
            <w:tcMar>
              <w:top w:type="dxa" w:w="80"/>
              <w:left w:type="dxa" w:w="100"/>
              <w:bottom w:type="dxa" w:w="80"/>
              <w:right w:type="dxa" w:w="100"/>
            </w:tcMar>
          </w:tcPr>
          <w:p>
            <w:r>
              <w:rPr>
                <w:rFonts w:ascii="Arial" w:cs="Arial" w:eastAsia="Arial" w:hAnsi="Arial"/>
                <w:b/>
                <w:bCs/>
                <w:sz w:val="20"/>
                <w:szCs w:val="20"/>
              </w:rPr>
              <w:t xml:space="preserve">LK</w:t>
            </w:r>
          </w:p>
        </w:tc>
        <w:tc>
          <w:tcPr>
            <w:tcW w:type="dxa" w:w="4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LK-11 (Observability &amp; Monitoring)</w:t>
            </w:r>
          </w:p>
        </w:tc>
      </w:tr>
    </w:tbl>
    <w:p>
      <w:r>
        <w:br w:type="page"/>
      </w:r>
    </w:p>
    <w:p>
      <w:pPr>
        <w:pStyle w:val="Heading1"/>
        <w:spacing w:after="180" w:before="240"/>
      </w:pPr>
      <w:r>
        <w:rPr>
          <w:rFonts w:ascii="Arial" w:cs="Arial" w:eastAsia="Arial" w:hAnsi="Arial"/>
          <w:b/>
          <w:bCs/>
          <w:sz w:val="32"/>
          <w:szCs w:val="32"/>
        </w:rPr>
        <w:t xml:space="preserve">1. File Konfigurasi</w:t>
      </w:r>
    </w:p>
    <w:p>
      <w:pPr>
        <w:spacing w:after="120"/>
      </w:pPr>
      <w:r>
        <w:rPr>
          <w:rFonts w:ascii="Arial" w:cs="Arial" w:eastAsia="Arial" w:hAnsi="Arial"/>
          <w:sz w:val="22"/>
          <w:szCs w:val="22"/>
        </w:rPr>
        <w:t xml:space="preserve">File konfigurasi yang diperbarui pada repositori GitHub untuk implementasi observability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000000" w:sz="4"/>
              <w:left w:val="single" w:color="000000" w:sz="4"/>
              <w:bottom w:val="single" w:color="000000" w:sz="4"/>
              <w:right w:val="single" w:color="000000" w:sz="4"/>
            </w:tcBorders>
            <w:shd w:fill="BFBFBF" w:color="auto" w:val="clear"/>
            <w:tcMar>
              <w:top w:type="dxa" w:w="80"/>
              <w:left w:type="dxa" w:w="100"/>
              <w:bottom w:type="dxa" w:w="80"/>
              <w:right w:type="dxa" w:w="100"/>
            </w:tcMar>
          </w:tcPr>
          <w:p>
            <w:r>
              <w:rPr>
                <w:rFonts w:ascii="Arial" w:cs="Arial" w:eastAsia="Arial" w:hAnsi="Arial"/>
                <w:b/>
                <w:bCs/>
                <w:sz w:val="20"/>
                <w:szCs w:val="20"/>
              </w:rPr>
              <w:t xml:space="preserve">File</w:t>
            </w:r>
          </w:p>
        </w:tc>
        <w:tc>
          <w:tcPr>
            <w:tcW w:type="dxa" w:w="1400"/>
            <w:tcBorders>
              <w:top w:val="single" w:color="000000" w:sz="4"/>
              <w:left w:val="single" w:color="000000" w:sz="4"/>
              <w:bottom w:val="single" w:color="000000" w:sz="4"/>
              <w:right w:val="single" w:color="000000" w:sz="4"/>
            </w:tcBorders>
            <w:shd w:fill="BFBFBF" w:color="auto" w:val="clear"/>
            <w:tcMar>
              <w:top w:type="dxa" w:w="80"/>
              <w:left w:type="dxa" w:w="100"/>
              <w:bottom w:type="dxa" w:w="80"/>
              <w:right w:type="dxa" w:w="100"/>
            </w:tcMar>
          </w:tcPr>
          <w:p>
            <w:r>
              <w:rPr>
                <w:rFonts w:ascii="Arial" w:cs="Arial" w:eastAsia="Arial" w:hAnsi="Arial"/>
                <w:b/>
                <w:bCs/>
                <w:sz w:val="20"/>
                <w:szCs w:val="20"/>
              </w:rPr>
              <w:t xml:space="preserve">Status</w:t>
            </w:r>
          </w:p>
        </w:tc>
        <w:tc>
          <w:tcPr>
            <w:tcW w:type="dxa" w:w="4760"/>
            <w:tcBorders>
              <w:top w:val="single" w:color="000000" w:sz="4"/>
              <w:left w:val="single" w:color="000000" w:sz="4"/>
              <w:bottom w:val="single" w:color="000000" w:sz="4"/>
              <w:right w:val="single" w:color="000000" w:sz="4"/>
            </w:tcBorders>
            <w:shd w:fill="BFBFBF" w:color="auto" w:val="clear"/>
            <w:tcMar>
              <w:top w:type="dxa" w:w="80"/>
              <w:left w:type="dxa" w:w="100"/>
              <w:bottom w:type="dxa" w:w="80"/>
              <w:right w:type="dxa" w:w="100"/>
            </w:tcMar>
          </w:tcPr>
          <w:p>
            <w:r>
              <w:rPr>
                <w:rFonts w:ascii="Arial" w:cs="Arial" w:eastAsia="Arial" w:hAnsi="Arial"/>
                <w:b/>
                <w:bCs/>
                <w:sz w:val="20"/>
                <w:szCs w:val="20"/>
              </w:rPr>
              <w:t xml:space="preserve">Keterangan</w:t>
            </w:r>
          </w:p>
        </w:tc>
      </w:tr>
      <w:tr>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docker-compose.yaml</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UPDATE</w:t>
            </w:r>
          </w:p>
        </w:tc>
        <w:tc>
          <w:tcPr>
            <w:tcW w:type="dxa" w:w="47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Tambah 4 service: metrics-proxy, prometheus, grafana, cadvisor</w:t>
            </w:r>
          </w:p>
        </w:tc>
      </w:tr>
      <w:tr>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monitoring/prometheus.yml</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BARU</w:t>
            </w:r>
          </w:p>
        </w:tc>
        <w:tc>
          <w:tcPr>
            <w:tcW w:type="dxa" w:w="47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Scrape config: 3 target (metrics-proxy, cadvisor, prometheus self)</w:t>
            </w:r>
          </w:p>
        </w:tc>
      </w:tr>
    </w:tbl>
    <w:p>
      <w:pPr>
        <w:spacing w:after="120"/>
      </w:pPr>
      <w:r>
        <w:rPr>
          <w:rFonts w:ascii="Arial" w:cs="Arial" w:eastAsia="Arial" w:hAnsi="Arial"/>
          <w:sz w:val="22"/>
          <w:szCs w:val="22"/>
        </w:rPr>
        <w:t xml:space="preserve"> </w:t>
      </w:r>
    </w:p>
    <w:p>
      <w:pPr>
        <w:spacing w:after="120"/>
      </w:pPr>
      <w:r>
        <w:rPr>
          <w:rFonts w:ascii="Arial" w:cs="Arial" w:eastAsia="Arial" w:hAnsi="Arial"/>
          <w:b/>
          <w:bCs/>
          <w:sz w:val="22"/>
          <w:szCs w:val="22"/>
        </w:rPr>
        <w:t xml:space="preserve">Repositori GitHub: </w:t>
      </w:r>
    </w:p>
    <w:p>
      <w:pPr>
        <w:spacing w:after="200"/>
      </w:pPr>
      <w:hyperlink w:history="1" r:id="rIdqgwqy139cccybsxkgkqlz">
        <w:r>
          <w:rPr>
            <w:rFonts w:ascii="Arial" w:cs="Arial" w:eastAsia="Arial" w:hAnsi="Arial"/>
            <w:color w:val="0563C1"/>
            <w:sz w:val="22"/>
            <w:szCs w:val="22"/>
            <w:u w:val="single"/>
          </w:rPr>
          <w:t xml:space="preserve">https://github.com/faiz241005-bit/MLOps-PrediksiHotspotKebakaranHutan</w:t>
        </w:r>
      </w:hyperlink>
    </w:p>
    <w:p>
      <w:pPr>
        <w:spacing w:after="120"/>
      </w:pPr>
      <w:r>
        <w:rPr>
          <w:rFonts w:ascii="Arial" w:cs="Arial" w:eastAsia="Arial" w:hAnsi="Arial"/>
          <w:sz w:val="22"/>
          <w:szCs w:val="22"/>
        </w:rPr>
        <w:t xml:space="preserve">Ringkasan perubahan di docker-compose.yaml:</w:t>
      </w:r>
    </w:p>
    <w:p>
      <w:pPr>
        <w:pStyle w:val="ListParagraph"/>
        <w:numPr>
          <w:ilvl w:val="0"/>
          <w:numId w:val="2"/>
        </w:numPr>
        <w:spacing w:after="80"/>
      </w:pPr>
      <w:r>
        <w:rPr>
          <w:rFonts w:ascii="Arial" w:cs="Arial" w:eastAsia="Arial" w:hAnsi="Arial"/>
          <w:sz w:val="22"/>
          <w:szCs w:val="22"/>
        </w:rPr>
        <w:t xml:space="preserve">mlflow-server (port 5000) — Tracking + Registry (sudah dari LK09)</w:t>
      </w:r>
    </w:p>
    <w:p>
      <w:pPr>
        <w:pStyle w:val="ListParagraph"/>
        <w:numPr>
          <w:ilvl w:val="0"/>
          <w:numId w:val="2"/>
        </w:numPr>
        <w:spacing w:after="80"/>
      </w:pPr>
      <w:r>
        <w:rPr>
          <w:rFonts w:ascii="Arial" w:cs="Arial" w:eastAsia="Arial" w:hAnsi="Arial"/>
          <w:sz w:val="22"/>
          <w:szCs w:val="22"/>
        </w:rPr>
        <w:t xml:space="preserve">mlflow-model-server x3 (port 8010-8012) — MLflow native serving (sudah dari LK10)</w:t>
      </w:r>
    </w:p>
    <w:p>
      <w:pPr>
        <w:pStyle w:val="ListParagraph"/>
        <w:numPr>
          <w:ilvl w:val="0"/>
          <w:numId w:val="2"/>
        </w:numPr>
        <w:spacing w:after="80"/>
      </w:pPr>
      <w:r>
        <w:rPr>
          <w:rFonts w:ascii="Arial" w:cs="Arial" w:eastAsia="Arial" w:hAnsi="Arial"/>
          <w:sz w:val="22"/>
          <w:szCs w:val="22"/>
        </w:rPr>
        <w:t xml:space="preserve">metrics-proxy (port 9000) — FastAPI sidecar, expose /metrics ke Prometheus</w:t>
      </w:r>
    </w:p>
    <w:p>
      <w:pPr>
        <w:pStyle w:val="ListParagraph"/>
        <w:numPr>
          <w:ilvl w:val="0"/>
          <w:numId w:val="2"/>
        </w:numPr>
        <w:spacing w:after="80"/>
      </w:pPr>
      <w:r>
        <w:rPr>
          <w:rFonts w:ascii="Arial" w:cs="Arial" w:eastAsia="Arial" w:hAnsi="Arial"/>
          <w:sz w:val="22"/>
          <w:szCs w:val="22"/>
        </w:rPr>
        <w:t xml:space="preserve">prometheus (port 9090) — TSDB scraper, retention 15 hari</w:t>
      </w:r>
    </w:p>
    <w:p>
      <w:pPr>
        <w:pStyle w:val="ListParagraph"/>
        <w:numPr>
          <w:ilvl w:val="0"/>
          <w:numId w:val="2"/>
        </w:numPr>
        <w:spacing w:after="80"/>
      </w:pPr>
      <w:r>
        <w:rPr>
          <w:rFonts w:ascii="Arial" w:cs="Arial" w:eastAsia="Arial" w:hAnsi="Arial"/>
          <w:sz w:val="22"/>
          <w:szCs w:val="22"/>
        </w:rPr>
        <w:t xml:space="preserve">grafana (port 3000) — Dashboard UI, auto-provisioned datasource + dashboards</w:t>
      </w:r>
    </w:p>
    <w:p>
      <w:pPr>
        <w:pStyle w:val="ListParagraph"/>
        <w:numPr>
          <w:ilvl w:val="0"/>
          <w:numId w:val="2"/>
        </w:numPr>
        <w:spacing w:after="80"/>
      </w:pPr>
      <w:r>
        <w:rPr>
          <w:rFonts w:ascii="Arial" w:cs="Arial" w:eastAsia="Arial" w:hAnsi="Arial"/>
          <w:sz w:val="22"/>
          <w:szCs w:val="22"/>
        </w:rPr>
        <w:t xml:space="preserve">cadvisor (port 8085) — Container resource exporter (CPU/RAM dari cgroups)</w:t>
      </w:r>
    </w:p>
    <w:p>
      <w:pPr>
        <w:spacing w:after="120"/>
      </w:pPr>
      <w:r>
        <w:rPr>
          <w:rFonts w:ascii="Arial" w:cs="Arial" w:eastAsia="Arial" w:hAnsi="Arial"/>
          <w:sz w:val="22"/>
          <w:szCs w:val="22"/>
        </w:rPr>
        <w:t xml:space="preserve"> </w:t>
      </w:r>
    </w:p>
    <w:p>
      <w:pPr>
        <w:spacing w:after="120"/>
      </w:pPr>
      <w:r>
        <w:rPr>
          <w:rFonts w:ascii="Arial" w:cs="Arial" w:eastAsia="Arial" w:hAnsi="Arial"/>
          <w:sz w:val="22"/>
          <w:szCs w:val="22"/>
        </w:rPr>
        <w:t xml:space="preserve">Ringkasan konfigurasi prometheus.yml:</w:t>
      </w:r>
    </w:p>
    <w:p>
      <w:pPr>
        <w:pStyle w:val="ListParagraph"/>
        <w:numPr>
          <w:ilvl w:val="0"/>
          <w:numId w:val="2"/>
        </w:numPr>
        <w:spacing w:after="80"/>
      </w:pPr>
      <w:r>
        <w:rPr>
          <w:rFonts w:ascii="Arial" w:cs="Arial" w:eastAsia="Arial" w:hAnsi="Arial"/>
          <w:sz w:val="22"/>
          <w:szCs w:val="22"/>
        </w:rPr>
        <w:t xml:space="preserve">Global scrape_interval: 15s (production-grade default)</w:t>
      </w:r>
    </w:p>
    <w:p>
      <w:pPr>
        <w:pStyle w:val="ListParagraph"/>
        <w:numPr>
          <w:ilvl w:val="0"/>
          <w:numId w:val="2"/>
        </w:numPr>
        <w:spacing w:after="80"/>
      </w:pPr>
      <w:r>
        <w:rPr>
          <w:rFonts w:ascii="Arial" w:cs="Arial" w:eastAsia="Arial" w:hAnsi="Arial"/>
          <w:sz w:val="22"/>
          <w:szCs w:val="22"/>
        </w:rPr>
        <w:t xml:space="preserve">Target 1: metrics-proxy:9000 — metrik aplikasi (latency, throughput, prediction value)</w:t>
      </w:r>
    </w:p>
    <w:p>
      <w:pPr>
        <w:pStyle w:val="ListParagraph"/>
        <w:numPr>
          <w:ilvl w:val="0"/>
          <w:numId w:val="2"/>
        </w:numPr>
        <w:spacing w:after="80"/>
      </w:pPr>
      <w:r>
        <w:rPr>
          <w:rFonts w:ascii="Arial" w:cs="Arial" w:eastAsia="Arial" w:hAnsi="Arial"/>
          <w:sz w:val="22"/>
          <w:szCs w:val="22"/>
        </w:rPr>
        <w:t xml:space="preserve">Target 2: cadvisor:8080 — metrik resource per container (CPU, RAM, network)</w:t>
      </w:r>
    </w:p>
    <w:p>
      <w:pPr>
        <w:pStyle w:val="ListParagraph"/>
        <w:numPr>
          <w:ilvl w:val="0"/>
          <w:numId w:val="2"/>
        </w:numPr>
        <w:spacing w:after="80"/>
      </w:pPr>
      <w:r>
        <w:rPr>
          <w:rFonts w:ascii="Arial" w:cs="Arial" w:eastAsia="Arial" w:hAnsi="Arial"/>
          <w:sz w:val="22"/>
          <w:szCs w:val="22"/>
        </w:rPr>
        <w:t xml:space="preserve">Target 3: localhost:9090 — Prometheus self-monitoring (best practice)</w:t>
      </w:r>
    </w:p>
    <w:p>
      <w:r>
        <w:br w:type="page"/>
      </w:r>
    </w:p>
    <w:p>
      <w:pPr>
        <w:pStyle w:val="Heading1"/>
        <w:spacing w:after="180" w:before="240"/>
      </w:pPr>
      <w:r>
        <w:rPr>
          <w:rFonts w:ascii="Arial" w:cs="Arial" w:eastAsia="Arial" w:hAnsi="Arial"/>
          <w:b/>
          <w:bCs/>
          <w:sz w:val="32"/>
          <w:szCs w:val="32"/>
        </w:rPr>
        <w:t xml:space="preserve">2. Laporan Observabilitas</w:t>
      </w:r>
    </w:p>
    <w:p>
      <w:pPr>
        <w:spacing w:after="120"/>
      </w:pPr>
      <w:r>
        <w:rPr>
          <w:rFonts w:ascii="Arial" w:cs="Arial" w:eastAsia="Arial" w:hAnsi="Arial"/>
          <w:sz w:val="22"/>
          <w:szCs w:val="22"/>
        </w:rPr>
        <w:t xml:space="preserve">Berikut bukti operasional sistem monitoring saat stack FireGuard berjalan:</w:t>
      </w:r>
    </w:p>
    <w:p>
      <w:pPr>
        <w:spacing w:after="120"/>
      </w:pPr>
      <w:r>
        <w:rPr>
          <w:rFonts w:ascii="Arial" w:cs="Arial" w:eastAsia="Arial" w:hAnsi="Arial"/>
          <w:sz w:val="22"/>
          <w:szCs w:val="22"/>
        </w:rPr>
        <w:t xml:space="preserve"> </w:t>
      </w:r>
    </w:p>
    <w:p>
      <w:pPr>
        <w:spacing w:after="120"/>
      </w:pPr>
      <w:r>
        <w:rPr>
          <w:rFonts w:ascii="Arial" w:cs="Arial" w:eastAsia="Arial" w:hAnsi="Arial"/>
          <w:b/>
          <w:bCs/>
          <w:sz w:val="22"/>
          <w:szCs w:val="22"/>
        </w:rPr>
        <w:t xml:space="preserve">A. Screenshot Grafana Dashboard yang menampilkan grafik aktif saat sistem berjalan</w:t>
      </w:r>
    </w:p>
    <w:p>
      <w:pPr>
        <w:spacing w:after="120"/>
      </w:pPr>
      <w:r>
        <w:rPr>
          <w:rFonts w:ascii="Arial" w:cs="Arial" w:eastAsia="Arial" w:hAnsi="Arial"/>
          <w:sz w:val="22"/>
          <w:szCs w:val="22"/>
        </w:rPr>
        <w:t xml:space="preserve">Dashboard 'FireGuard MLOps Observability (LK11)' diakses di http://localhost:3000. Panel-panel yang tampak: throughput RPS, latensi inferensi p50/p95/p99, error rate, CPU/RAM per container, dan distribusi prediksi untuk drift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dashed" w:color="000000" w:sz="6"/>
              <w:left w:val="dashed" w:color="000000" w:sz="6"/>
              <w:bottom w:val="dashed" w:color="000000" w:sz="6"/>
              <w:right w:val="dashed" w:color="000000" w:sz="6"/>
            </w:tcBorders>
            <w:tcMar>
              <w:top w:type="dxa" w:w="300"/>
              <w:left w:type="dxa" w:w="200"/>
              <w:bottom w:type="dxa" w:w="300"/>
              <w:right w:type="dxa" w:w="200"/>
            </w:tcMar>
          </w:tcPr>
          <w:p>
            <w:pPr>
              <w:jc w:val="center"/>
            </w:pPr>
            <w:r>
              <w:rPr>
                <w:rFonts w:ascii="Arial" w:cs="Arial" w:eastAsia="Arial" w:hAnsi="Arial"/>
                <w:i/>
                <w:iCs/>
                <w:color w:val="595959"/>
                <w:sz w:val="22"/>
                <w:szCs w:val="22"/>
              </w:rPr>
              <w:t xml:space="preserve">[ SCREENSHOT — Grafana Dashboard FireGuard MLOps Observability ]</w:t>
            </w:r>
          </w:p>
        </w:tc>
      </w:tr>
    </w:tbl>
    <w:p>
      <w:pPr>
        <w:spacing w:after="120"/>
      </w:pPr>
      <w:r>
        <w:rPr>
          <w:rFonts w:ascii="Arial" w:cs="Arial" w:eastAsia="Arial" w:hAnsi="Arial"/>
          <w:sz w:val="22"/>
          <w:szCs w:val="22"/>
        </w:rPr>
        <w:t xml:space="preserve"> </w:t>
      </w:r>
    </w:p>
    <w:p>
      <w:pPr>
        <w:spacing w:after="120"/>
      </w:pPr>
      <w:r>
        <w:rPr>
          <w:rFonts w:ascii="Arial" w:cs="Arial" w:eastAsia="Arial" w:hAnsi="Arial"/>
          <w:b/>
          <w:bCs/>
          <w:sz w:val="22"/>
          <w:szCs w:val="22"/>
        </w:rPr>
        <w:t xml:space="preserve">B. Screenshot bukti Prometheus berhasil melakukan scraping metrik dari kontainer model</w:t>
      </w:r>
    </w:p>
    <w:p>
      <w:pPr>
        <w:spacing w:after="120"/>
      </w:pPr>
      <w:r>
        <w:rPr>
          <w:rFonts w:ascii="Arial" w:cs="Arial" w:eastAsia="Arial" w:hAnsi="Arial"/>
          <w:sz w:val="22"/>
          <w:szCs w:val="22"/>
        </w:rPr>
        <w:t xml:space="preserve">Halaman Prometheus Targets (http://localhost:9090/targets) menunjukkan ketiga scrape target dalam status UP, membuktikan Prometheus berhasil mengumpulkan metrik dari metrics-proxy (yang melakukan instrumentasi kontainer mlflow-model-server) maupun dari cAdvisor (untuk metrik resource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dashed" w:color="000000" w:sz="6"/>
              <w:left w:val="dashed" w:color="000000" w:sz="6"/>
              <w:bottom w:val="dashed" w:color="000000" w:sz="6"/>
              <w:right w:val="dashed" w:color="000000" w:sz="6"/>
            </w:tcBorders>
            <w:tcMar>
              <w:top w:type="dxa" w:w="300"/>
              <w:left w:type="dxa" w:w="200"/>
              <w:bottom w:type="dxa" w:w="300"/>
              <w:right w:type="dxa" w:w="200"/>
            </w:tcMar>
          </w:tcPr>
          <w:p>
            <w:pPr>
              <w:jc w:val="center"/>
            </w:pPr>
            <w:r>
              <w:rPr>
                <w:rFonts w:ascii="Arial" w:cs="Arial" w:eastAsia="Arial" w:hAnsi="Arial"/>
                <w:i/>
                <w:iCs/>
                <w:color w:val="595959"/>
                <w:sz w:val="22"/>
                <w:szCs w:val="22"/>
              </w:rPr>
              <w:t xml:space="preserve">[ SCREENSHOT — Prometheus /targets — 3 target UP ]</w:t>
            </w:r>
          </w:p>
        </w:tc>
      </w:tr>
    </w:tbl>
    <w:p>
      <w:r>
        <w:br w:type="page"/>
      </w:r>
    </w:p>
    <w:p>
      <w:pPr>
        <w:pStyle w:val="Heading1"/>
        <w:spacing w:after="180" w:before="240"/>
      </w:pPr>
      <w:r>
        <w:rPr>
          <w:rFonts w:ascii="Arial" w:cs="Arial" w:eastAsia="Arial" w:hAnsi="Arial"/>
          <w:b/>
          <w:bCs/>
          <w:sz w:val="32"/>
          <w:szCs w:val="32"/>
        </w:rPr>
        <w:t xml:space="preserve">3. Analisis Monitoring — Deteksi Model Decay</w:t>
      </w:r>
    </w:p>
    <w:p>
      <w:pPr>
        <w:spacing w:after="120"/>
      </w:pPr>
      <w:r>
        <w:rPr>
          <w:rFonts w:ascii="Arial" w:cs="Arial" w:eastAsia="Arial" w:hAnsi="Arial"/>
          <w:sz w:val="22"/>
          <w:szCs w:val="22"/>
        </w:rPr>
        <w:t xml:space="preserve">Dashboard yang dibangun memungkinkan deteksi dini penurunan performa model (model decay) melalui empat sinyal utama yang divisualisasikan secara real-time:</w:t>
      </w:r>
    </w:p>
    <w:p>
      <w:pPr>
        <w:spacing w:after="120"/>
      </w:pPr>
      <w:r>
        <w:rPr>
          <w:rFonts w:ascii="Arial" w:cs="Arial" w:eastAsia="Arial" w:hAnsi="Arial"/>
          <w:sz w:val="22"/>
          <w:szCs w:val="22"/>
        </w:rPr>
        <w:t xml:space="preserve"> </w:t>
      </w:r>
    </w:p>
    <w:p>
      <w:pPr>
        <w:spacing w:after="120"/>
      </w:pPr>
      <w:r>
        <w:rPr>
          <w:rFonts w:ascii="Arial" w:cs="Arial" w:eastAsia="Arial" w:hAnsi="Arial"/>
          <w:b/>
          <w:bCs/>
          <w:sz w:val="22"/>
          <w:szCs w:val="22"/>
        </w:rPr>
        <w:t xml:space="preserve">1. Data Drift via Heatmap Distribusi Prediksi</w:t>
      </w:r>
    </w:p>
    <w:p>
      <w:pPr>
        <w:spacing w:after="120"/>
      </w:pPr>
      <w:r>
        <w:rPr>
          <w:rFonts w:ascii="Arial" w:cs="Arial" w:eastAsia="Arial" w:hAnsi="Arial"/>
          <w:sz w:val="22"/>
          <w:szCs w:val="22"/>
        </w:rPr>
        <w:t xml:space="preserve">Panel heatmap memantau histogram nilai prediksi (mlflow_prediction_value). Ketika input data production bergeser dari distribusi training (misalnya pergantian musim kemarau ke musim hujan), output model akan ikut bergeser. Pergeseran bucket heatmap yang konsisten terhadap baseline menjadi sinyal awal bahwa retraining diperlukan.</w:t>
      </w:r>
    </w:p>
    <w:p>
      <w:pPr>
        <w:spacing w:after="120"/>
      </w:pPr>
      <w:r>
        <w:rPr>
          <w:rFonts w:ascii="Arial" w:cs="Arial" w:eastAsia="Arial" w:hAnsi="Arial"/>
          <w:sz w:val="22"/>
          <w:szCs w:val="22"/>
        </w:rPr>
        <w:t xml:space="preserve"> </w:t>
      </w:r>
    </w:p>
    <w:p>
      <w:pPr>
        <w:spacing w:after="120"/>
      </w:pPr>
      <w:r>
        <w:rPr>
          <w:rFonts w:ascii="Arial" w:cs="Arial" w:eastAsia="Arial" w:hAnsi="Arial"/>
          <w:b/>
          <w:bCs/>
          <w:sz w:val="22"/>
          <w:szCs w:val="22"/>
        </w:rPr>
        <w:t xml:space="preserve">2. Latency Degradation via Trend p99</w:t>
      </w:r>
    </w:p>
    <w:p>
      <w:pPr>
        <w:spacing w:after="120"/>
      </w:pPr>
      <w:r>
        <w:rPr>
          <w:rFonts w:ascii="Arial" w:cs="Arial" w:eastAsia="Arial" w:hAnsi="Arial"/>
          <w:sz w:val="22"/>
          <w:szCs w:val="22"/>
        </w:rPr>
        <w:t xml:space="preserve">Panel latensi p50/p95/p99 timeseries mengungkap penurunan performa sistem. Kenaikan p99 yang gradual (bukan spike sesaat) mengindikasikan masalah sistemik — model membesar setelah retraining, memory pressure, atau dependency I/O melambat. Jika p99 melampaui SLA (misal 1 detik) selama 10 menit berturut-turut, perlu investigasi &amp; scale-up replicas.</w:t>
      </w:r>
    </w:p>
    <w:p>
      <w:pPr>
        <w:spacing w:after="120"/>
      </w:pPr>
      <w:r>
        <w:rPr>
          <w:rFonts w:ascii="Arial" w:cs="Arial" w:eastAsia="Arial" w:hAnsi="Arial"/>
          <w:sz w:val="22"/>
          <w:szCs w:val="22"/>
        </w:rPr>
        <w:t xml:space="preserve"> </w:t>
      </w:r>
    </w:p>
    <w:p>
      <w:pPr>
        <w:spacing w:after="120"/>
      </w:pPr>
      <w:r>
        <w:rPr>
          <w:rFonts w:ascii="Arial" w:cs="Arial" w:eastAsia="Arial" w:hAnsi="Arial"/>
          <w:b/>
          <w:bCs/>
          <w:sz w:val="22"/>
          <w:szCs w:val="22"/>
        </w:rPr>
        <w:t xml:space="preserve">3. Error Rate Creep via Request per Status</w:t>
      </w:r>
    </w:p>
    <w:p>
      <w:pPr>
        <w:spacing w:after="120"/>
      </w:pPr>
      <w:r>
        <w:rPr>
          <w:rFonts w:ascii="Arial" w:cs="Arial" w:eastAsia="Arial" w:hAnsi="Arial"/>
          <w:sz w:val="22"/>
          <w:szCs w:val="22"/>
        </w:rPr>
        <w:t xml:space="preserve">Panel request rate yang dipisahkan per kode HTTP (2xx/4xx/5xx) memperlihatkan kemunculan error baru. Bertambahnya 4xx (terutama 422 Unprocessable Entity) sering menandakan schema drift — input production tidak sesuai dengan signature model di MLflow Registry. Sinyal ini memerlukan validasi skema dan kemungkinan rollback model ke versi sebelumnya.</w:t>
      </w:r>
    </w:p>
    <w:p>
      <w:pPr>
        <w:spacing w:after="120"/>
      </w:pPr>
      <w:r>
        <w:rPr>
          <w:rFonts w:ascii="Arial" w:cs="Arial" w:eastAsia="Arial" w:hAnsi="Arial"/>
          <w:sz w:val="22"/>
          <w:szCs w:val="22"/>
        </w:rPr>
        <w:t xml:space="preserve"> </w:t>
      </w:r>
    </w:p>
    <w:p>
      <w:pPr>
        <w:spacing w:after="120"/>
      </w:pPr>
      <w:r>
        <w:rPr>
          <w:rFonts w:ascii="Arial" w:cs="Arial" w:eastAsia="Arial" w:hAnsi="Arial"/>
          <w:b/>
          <w:bCs/>
          <w:sz w:val="22"/>
          <w:szCs w:val="22"/>
        </w:rPr>
        <w:t xml:space="preserve">4. Memory Leak via Trend RAM Container</w:t>
      </w:r>
    </w:p>
    <w:p>
      <w:pPr>
        <w:spacing w:after="120"/>
      </w:pPr>
      <w:r>
        <w:rPr>
          <w:rFonts w:ascii="Arial" w:cs="Arial" w:eastAsia="Arial" w:hAnsi="Arial"/>
          <w:sz w:val="22"/>
          <w:szCs w:val="22"/>
        </w:rPr>
        <w:t xml:space="preserve">Panel memory dari cAdvisor menampilkan pemakaian RAM per replica. Pola sehat berbentuk gergaji (naik-turun mengikuti garbage collection). Pola berbahaya adalah monoton naik tanpa penurunan, mengindikasikan object retention atau kebocoran handle file di model wrapper. Mitigasi cepat: restart replica. Root cause analysis dilakukan dengan py-spy atau tracemalloc.</w:t>
      </w:r>
    </w:p>
    <w:p>
      <w:pPr>
        <w:spacing w:after="120"/>
      </w:pPr>
      <w:r>
        <w:rPr>
          <w:rFonts w:ascii="Arial" w:cs="Arial" w:eastAsia="Arial" w:hAnsi="Arial"/>
          <w:sz w:val="22"/>
          <w:szCs w:val="22"/>
        </w:rPr>
        <w:t xml:space="preserve"> </w:t>
      </w:r>
    </w:p>
    <w:p>
      <w:pPr>
        <w:spacing w:after="120"/>
      </w:pPr>
      <w:r>
        <w:rPr>
          <w:rFonts w:ascii="Arial" w:cs="Arial" w:eastAsia="Arial" w:hAnsi="Arial"/>
          <w:sz w:val="22"/>
          <w:szCs w:val="22"/>
        </w:rPr>
        <w:t xml:space="preserve">Tabel rangkuman sinyal decay dan tindakan operasional: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000000" w:sz="4"/>
              <w:left w:val="single" w:color="000000" w:sz="4"/>
              <w:bottom w:val="single" w:color="000000" w:sz="4"/>
              <w:right w:val="single" w:color="000000" w:sz="4"/>
            </w:tcBorders>
            <w:shd w:fill="BFBFBF" w:color="auto" w:val="clear"/>
            <w:tcMar>
              <w:top w:type="dxa" w:w="80"/>
              <w:left w:type="dxa" w:w="100"/>
              <w:bottom w:type="dxa" w:w="80"/>
              <w:right w:type="dxa" w:w="100"/>
            </w:tcMar>
          </w:tcPr>
          <w:p>
            <w:r>
              <w:rPr>
                <w:rFonts w:ascii="Arial" w:cs="Arial" w:eastAsia="Arial" w:hAnsi="Arial"/>
                <w:b/>
                <w:bCs/>
                <w:sz w:val="20"/>
                <w:szCs w:val="20"/>
              </w:rPr>
              <w:t xml:space="preserve">Sinyal Decay</w:t>
            </w:r>
          </w:p>
        </w:tc>
        <w:tc>
          <w:tcPr>
            <w:tcW w:type="dxa" w:w="3800"/>
            <w:tcBorders>
              <w:top w:val="single" w:color="000000" w:sz="4"/>
              <w:left w:val="single" w:color="000000" w:sz="4"/>
              <w:bottom w:val="single" w:color="000000" w:sz="4"/>
              <w:right w:val="single" w:color="000000" w:sz="4"/>
            </w:tcBorders>
            <w:shd w:fill="BFBFBF" w:color="auto" w:val="clear"/>
            <w:tcMar>
              <w:top w:type="dxa" w:w="80"/>
              <w:left w:type="dxa" w:w="100"/>
              <w:bottom w:type="dxa" w:w="80"/>
              <w:right w:type="dxa" w:w="100"/>
            </w:tcMar>
          </w:tcPr>
          <w:p>
            <w:r>
              <w:rPr>
                <w:rFonts w:ascii="Arial" w:cs="Arial" w:eastAsia="Arial" w:hAnsi="Arial"/>
                <w:b/>
                <w:bCs/>
                <w:sz w:val="20"/>
                <w:szCs w:val="20"/>
              </w:rPr>
              <w:t xml:space="preserve">Indikator Dashboard</w:t>
            </w:r>
          </w:p>
        </w:tc>
        <w:tc>
          <w:tcPr>
            <w:tcW w:type="dxa" w:w="3160"/>
            <w:tcBorders>
              <w:top w:val="single" w:color="000000" w:sz="4"/>
              <w:left w:val="single" w:color="000000" w:sz="4"/>
              <w:bottom w:val="single" w:color="000000" w:sz="4"/>
              <w:right w:val="single" w:color="000000" w:sz="4"/>
            </w:tcBorders>
            <w:shd w:fill="BFBFBF" w:color="auto" w:val="clear"/>
            <w:tcMar>
              <w:top w:type="dxa" w:w="80"/>
              <w:left w:type="dxa" w:w="100"/>
              <w:bottom w:type="dxa" w:w="80"/>
              <w:right w:type="dxa" w:w="100"/>
            </w:tcMar>
          </w:tcPr>
          <w:p>
            <w:r>
              <w:rPr>
                <w:rFonts w:ascii="Arial" w:cs="Arial" w:eastAsia="Arial" w:hAnsi="Arial"/>
                <w:b/>
                <w:bCs/>
                <w:sz w:val="20"/>
                <w:szCs w:val="20"/>
              </w:rPr>
              <w:t xml:space="preserve">Tindakan</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Data Drift</w:t>
            </w:r>
          </w:p>
        </w:tc>
        <w:tc>
          <w:tcPr>
            <w:tcW w:type="dxa" w:w="3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Heatmap prediksi shift signifikan</w:t>
            </w:r>
          </w:p>
        </w:tc>
        <w:tc>
          <w:tcPr>
            <w:tcW w:type="dxa" w:w="31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Schedule retraining + evaluasi</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Latency Degradation</w:t>
            </w:r>
          </w:p>
        </w:tc>
        <w:tc>
          <w:tcPr>
            <w:tcW w:type="dxa" w:w="3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p99 &gt; 1s sustained 10 menit</w:t>
            </w:r>
          </w:p>
        </w:tc>
        <w:tc>
          <w:tcPr>
            <w:tcW w:type="dxa" w:w="31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Scale up + investigate</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Error Rate Creep</w:t>
            </w:r>
          </w:p>
        </w:tc>
        <w:tc>
          <w:tcPr>
            <w:tcW w:type="dxa" w:w="3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Error rate &gt; 5% sustained 5 menit</w:t>
            </w:r>
          </w:p>
        </w:tc>
        <w:tc>
          <w:tcPr>
            <w:tcW w:type="dxa" w:w="31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Cek logs + rollback model jika perlu</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Memory Leak</w:t>
            </w:r>
          </w:p>
        </w:tc>
        <w:tc>
          <w:tcPr>
            <w:tcW w:type="dxa" w:w="3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RAM monoton naik selama jam-jaman</w:t>
            </w:r>
          </w:p>
        </w:tc>
        <w:tc>
          <w:tcPr>
            <w:tcW w:type="dxa" w:w="31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Restart replica, jadwalkan fix</w:t>
            </w:r>
          </w:p>
        </w:tc>
      </w:tr>
    </w:tbl>
    <w:p>
      <w:pPr>
        <w:spacing w:after="120"/>
      </w:pPr>
      <w:r>
        <w:rPr>
          <w:rFonts w:ascii="Arial" w:cs="Arial" w:eastAsia="Arial" w:hAnsi="Arial"/>
          <w:sz w:val="22"/>
          <w:szCs w:val="22"/>
        </w:rPr>
        <w:t xml:space="preserve"> </w:t>
      </w:r>
    </w:p>
    <w:p>
      <w:pPr>
        <w:spacing w:after="120"/>
      </w:pPr>
      <w:r>
        <w:rPr>
          <w:rFonts w:ascii="Arial" w:cs="Arial" w:eastAsia="Arial" w:hAnsi="Arial"/>
          <w:sz w:val="22"/>
          <w:szCs w:val="22"/>
        </w:rPr>
        <w:t xml:space="preserve">Dengan kombinasi keempat sinyal di atas, dashboard tidak hanya menunjukkan keadaan sistem saat ini, tetapi juga memberikan visibility terhadap tren yang memungkinkan tim operasional bertindak proaktif sebelum performa model berdampak signifikan pada pengguna akhir.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Halaman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8"/>
        <w:szCs w:val="18"/>
      </w:rPr>
      <w:t xml:space="preserve">LK-11 Observability &amp; Dashboard | FireGuard MLOps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00000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qgwqy139cccybsxkgkqlz" Type="http://schemas.openxmlformats.org/officeDocument/2006/relationships/hyperlink" Target="https://github.com/faiz241005-bit/MLOps-PrediksiHotspotKebakaranHutan"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LK11 FireGuard — Observability</dc:title>
  <dc:creator>Izu</dc:creator>
  <cp:lastModifiedBy>Un-named</cp:lastModifiedBy>
  <cp:revision>1</cp:revision>
  <dcterms:created xsi:type="dcterms:W3CDTF">2026-05-26T09:24:02.112Z</dcterms:created>
  <dcterms:modified xsi:type="dcterms:W3CDTF">2026-05-26T09:24:02.113Z</dcterms:modified>
</cp:coreProperties>
</file>

<file path=docProps/custom.xml><?xml version="1.0" encoding="utf-8"?>
<Properties xmlns="http://schemas.openxmlformats.org/officeDocument/2006/custom-properties" xmlns:vt="http://schemas.openxmlformats.org/officeDocument/2006/docPropsVTypes"/>
</file>