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38866c3aa1d58e485a044ac960e5cd924b7da16"/>
    <w:p>
      <w:pPr>
        <w:pStyle w:val="Heading1"/>
      </w:pPr>
      <w:r>
        <w:t xml:space="preserve">CovenantWatch — Product Feature Specification</w:t>
      </w:r>
    </w:p>
    <w:bookmarkStart w:id="21" w:name="X89e7dfddc3d232941144b276cc6d2f702defc06"/>
    <w:p>
      <w:pPr>
        <w:pStyle w:val="Heading2"/>
      </w:pPr>
      <w:r>
        <w:t xml:space="preserve">Debt Covenant Monitoring Agent for Private Equity</w:t>
      </w:r>
    </w:p>
    <w:bookmarkStart w:id="20" w:name="demo-build-document-developer-handoff"/>
    <w:p>
      <w:pPr>
        <w:pStyle w:val="Heading3"/>
      </w:pPr>
      <w:r>
        <w:t xml:space="preserve">Demo Build Document — Developer Handoff</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Private credit AUM has grown from $875 billion in 2020 to over $1.7 trillion in 2025, yet the monitoring infrastructure has not kept pace. Credit analysts spend 60 to 70 percent of their time on data compilation rather than credit analysis. This document defines every feature of CovenantWatch — an AI-powered debt covenant monitoring agent for PE firms and their portfolio companies — in plain language, ready for a developer to implement as a working demo.</w:t>
      </w:r>
    </w:p>
    <w:p>
      <w:r>
        <w:pict>
          <v:rect style="width:0;height:1.5pt" o:hralign="center" o:hrstd="t" o:hr="t"/>
        </w:pict>
      </w:r>
    </w:p>
    <w:bookmarkEnd w:id="22"/>
    <w:bookmarkStart w:id="26" w:name="part-1-what-problem-this-solves"/>
    <w:p>
      <w:pPr>
        <w:pStyle w:val="Heading2"/>
      </w:pPr>
      <w:r>
        <w:t xml:space="preserve">Part 1 — What Problem This Solves</w:t>
      </w:r>
    </w:p>
    <w:bookmarkStart w:id="23" w:name="the-market-gap"/>
    <w:p>
      <w:pPr>
        <w:pStyle w:val="Heading3"/>
      </w:pPr>
      <w:r>
        <w:t xml:space="preserve">1.1 The Market Gap</w:t>
      </w:r>
    </w:p>
    <w:p>
      <w:pPr>
        <w:pStyle w:val="FirstParagraph"/>
      </w:pPr>
      <w:r>
        <w:t xml:space="preserve">Enterprise covenant monitoring platforms (Moody’s CreditLens, the recently launched Covenant AI, and the now-acquired Finley) charge $100,000 to $500,000 per year and are built for lenders, not for borrowers. The borrower-side is completely unserved at mid-market prices.</w:t>
      </w:r>
    </w:p>
    <w:p>
      <w:pPr>
        <w:pStyle w:val="BodyText"/>
      </w:pPr>
      <w:r>
        <w:t xml:space="preserve">The specific gap:</w:t>
      </w:r>
    </w:p>
    <w:p>
      <w:pPr>
        <w:numPr>
          <w:ilvl w:val="0"/>
          <w:numId w:val="1001"/>
        </w:numPr>
        <w:pStyle w:val="Compact"/>
      </w:pPr>
      <w:r>
        <w:t xml:space="preserve">Mid-market PE-backed companies (10 to 300 employees) typically carry 2 to 5 financial covenants attached to their debt.</w:t>
      </w:r>
    </w:p>
    <w:p>
      <w:pPr>
        <w:numPr>
          <w:ilvl w:val="0"/>
          <w:numId w:val="1001"/>
        </w:numPr>
        <w:pStyle w:val="Compact"/>
      </w:pPr>
      <w:r>
        <w:t xml:space="preserve">The average PE portfolio CFO checks covenant compliance manually in Excel, once per quarter.</w:t>
      </w:r>
    </w:p>
    <w:p>
      <w:pPr>
        <w:numPr>
          <w:ilvl w:val="0"/>
          <w:numId w:val="1001"/>
        </w:numPr>
        <w:pStyle w:val="Compact"/>
      </w:pPr>
      <w:r>
        <w:t xml:space="preserve">A breach discovered after a quarterly reporting deadline means the company has been in technical default for up to 90 days without knowing it.</w:t>
      </w:r>
    </w:p>
    <w:p>
      <w:pPr>
        <w:numPr>
          <w:ilvl w:val="0"/>
          <w:numId w:val="1001"/>
        </w:numPr>
        <w:pStyle w:val="Compact"/>
      </w:pPr>
      <w:r>
        <w:t xml:space="preserve">No affordable, self-serve tool exists that auto-syncs from QuickBooks, calculates ratios daily, and warns 60 to 90 days before a breach occurs.</w:t>
      </w:r>
    </w:p>
    <w:bookmarkEnd w:id="23"/>
    <w:bookmarkStart w:id="24" w:name="what-a-covenant-is-plain-language"/>
    <w:p>
      <w:pPr>
        <w:pStyle w:val="Heading3"/>
      </w:pPr>
      <w:r>
        <w:t xml:space="preserve">1.2 What a Covenant Is (Plain Language)</w:t>
      </w:r>
    </w:p>
    <w:p>
      <w:pPr>
        <w:pStyle w:val="FirstParagraph"/>
      </w:pPr>
      <w:r>
        <w:t xml:space="preserve">A covenant is a legally binding rule attached to a loan. The borrowing company must meet these rules continuously — not just make payments on time. If any rule is broken, even once, the bank can declare an Event of Default and demand the entire loan balance back immediately. This happens even if every payment is current.</w:t>
      </w:r>
    </w:p>
    <w:p>
      <w:pPr>
        <w:pStyle w:val="BodyText"/>
      </w:pPr>
      <w:r>
        <w:t xml:space="preserve">The five covenant types this system monitors: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Covenant</w:t>
            </w:r>
          </w:p>
        </w:tc>
        <w:tc>
          <w:tcPr/>
          <w:p>
            <w:pPr>
              <w:pStyle w:val="Compact"/>
              <w:jc w:val="left"/>
            </w:pPr>
            <w:r>
              <w:t xml:space="preserve">Formula</w:t>
            </w:r>
          </w:p>
        </w:tc>
        <w:tc>
          <w:tcPr/>
          <w:p>
            <w:pPr>
              <w:pStyle w:val="Compact"/>
              <w:jc w:val="left"/>
            </w:pPr>
            <w:r>
              <w:t xml:space="preserve">Direction</w:t>
            </w:r>
          </w:p>
        </w:tc>
      </w:tr>
      <w:tr>
        <w:tc>
          <w:tcPr/>
          <w:p>
            <w:pPr>
              <w:pStyle w:val="Compact"/>
              <w:jc w:val="left"/>
            </w:pPr>
            <w:r>
              <w:t xml:space="preserve">Leverage Ratio</w:t>
            </w:r>
          </w:p>
        </w:tc>
        <w:tc>
          <w:tcPr/>
          <w:p>
            <w:pPr>
              <w:pStyle w:val="Compact"/>
              <w:jc w:val="left"/>
            </w:pPr>
            <w:r>
              <w:t xml:space="preserve">Total Debt ÷ EBITDA</w:t>
            </w:r>
          </w:p>
        </w:tc>
        <w:tc>
          <w:tcPr/>
          <w:p>
            <w:pPr>
              <w:pStyle w:val="Compact"/>
              <w:jc w:val="left"/>
            </w:pPr>
            <w:r>
              <w:t xml:space="preserve">Must stay BELOW a maximum (e.g., 4.0x)</w:t>
            </w:r>
          </w:p>
        </w:tc>
      </w:tr>
      <w:tr>
        <w:tc>
          <w:tcPr/>
          <w:p>
            <w:pPr>
              <w:pStyle w:val="Compact"/>
              <w:jc w:val="left"/>
            </w:pPr>
            <w:r>
              <w:t xml:space="preserve">Interest Coverage Ratio</w:t>
            </w:r>
          </w:p>
        </w:tc>
        <w:tc>
          <w:tcPr/>
          <w:p>
            <w:pPr>
              <w:pStyle w:val="Compact"/>
              <w:jc w:val="left"/>
            </w:pPr>
            <w:r>
              <w:t xml:space="preserve">EBITDA ÷ Interest Expense</w:t>
            </w:r>
          </w:p>
        </w:tc>
        <w:tc>
          <w:tcPr/>
          <w:p>
            <w:pPr>
              <w:pStyle w:val="Compact"/>
              <w:jc w:val="left"/>
            </w:pPr>
            <w:r>
              <w:t xml:space="preserve">Must stay ABOVE a minimum (e.g., 2.5x)</w:t>
            </w:r>
          </w:p>
        </w:tc>
      </w:tr>
      <w:tr>
        <w:tc>
          <w:tcPr/>
          <w:p>
            <w:pPr>
              <w:pStyle w:val="Compact"/>
              <w:jc w:val="left"/>
            </w:pPr>
            <w:r>
              <w:t xml:space="preserve">Fixed Charge Coverage</w:t>
            </w:r>
          </w:p>
        </w:tc>
        <w:tc>
          <w:tcPr/>
          <w:p>
            <w:pPr>
              <w:pStyle w:val="Compact"/>
              <w:jc w:val="left"/>
            </w:pPr>
            <w:r>
              <w:t xml:space="preserve">(EBITDA − CapEx) ÷ Debt Service</w:t>
            </w:r>
          </w:p>
        </w:tc>
        <w:tc>
          <w:tcPr/>
          <w:p>
            <w:pPr>
              <w:pStyle w:val="Compact"/>
              <w:jc w:val="left"/>
            </w:pPr>
            <w:r>
              <w:t xml:space="preserve">Must stay ABOVE a minimum (e.g., 1.1x)</w:t>
            </w:r>
          </w:p>
        </w:tc>
      </w:tr>
      <w:tr>
        <w:tc>
          <w:tcPr/>
          <w:p>
            <w:pPr>
              <w:pStyle w:val="Compact"/>
              <w:jc w:val="left"/>
            </w:pPr>
            <w:r>
              <w:t xml:space="preserve">Current Ratio</w:t>
            </w:r>
          </w:p>
        </w:tc>
        <w:tc>
          <w:tcPr/>
          <w:p>
            <w:pPr>
              <w:pStyle w:val="Compact"/>
              <w:jc w:val="left"/>
            </w:pPr>
            <w:r>
              <w:t xml:space="preserve">Current Assets ÷ Current Liabilities</w:t>
            </w:r>
          </w:p>
        </w:tc>
        <w:tc>
          <w:tcPr/>
          <w:p>
            <w:pPr>
              <w:pStyle w:val="Compact"/>
              <w:jc w:val="left"/>
            </w:pPr>
            <w:r>
              <w:t xml:space="preserve">Must stay ABOVE a minimum (e.g., 1.2x)</w:t>
            </w:r>
          </w:p>
        </w:tc>
      </w:tr>
      <w:tr>
        <w:tc>
          <w:tcPr/>
          <w:p>
            <w:pPr>
              <w:pStyle w:val="Compact"/>
              <w:jc w:val="left"/>
            </w:pPr>
            <w:r>
              <w:t xml:space="preserve">Minimum Liquidity</w:t>
            </w:r>
          </w:p>
        </w:tc>
        <w:tc>
          <w:tcPr/>
          <w:p>
            <w:pPr>
              <w:pStyle w:val="Compact"/>
              <w:jc w:val="left"/>
            </w:pPr>
            <w:r>
              <w:t xml:space="preserve">Cash + Available Credit</w:t>
            </w:r>
          </w:p>
        </w:tc>
        <w:tc>
          <w:tcPr/>
          <w:p>
            <w:pPr>
              <w:pStyle w:val="Compact"/>
              <w:jc w:val="left"/>
            </w:pPr>
            <w:r>
              <w:t xml:space="preserve">Must stay ABOVE a dollar floor (e.g., $2M)</w:t>
            </w:r>
          </w:p>
        </w:tc>
      </w:tr>
    </w:tbl>
    <w:bookmarkEnd w:id="24"/>
    <w:bookmarkStart w:id="25" w:name="how-this-system-changes-the-equation"/>
    <w:p>
      <w:pPr>
        <w:pStyle w:val="Heading3"/>
      </w:pPr>
      <w:r>
        <w:t xml:space="preserve">1.3 How This System Changes the Equation</w:t>
      </w:r>
    </w:p>
    <w:p>
      <w:pPr>
        <w:pStyle w:val="FirstParagraph"/>
      </w:pPr>
      <w:r>
        <w:t xml:space="preserve">Old workflow: collect financial data → build Excel model manually → calculate ratios → compare against thresholds → repeat 90 days later. Total time: 8 to 40 hours per cycle. Problem found: after it already exists.</w:t>
      </w:r>
    </w:p>
    <w:p>
      <w:pPr>
        <w:pStyle w:val="BodyText"/>
      </w:pPr>
      <w:r>
        <w:t xml:space="preserve">New workflow: QuickBooks syncs automatically every night → ratios calculated in seconds → AI has already read the loan PDF and knows all thresholds → system projects 90 days forward → CFO receives a warning 6 to 8 weeks before a potential breach → CFO has time to cut costs, raise equity, or negotiate a waiver.</w:t>
      </w:r>
    </w:p>
    <w:p>
      <w:r>
        <w:pict>
          <v:rect style="width:0;height:1.5pt" o:hralign="center" o:hrstd="t" o:hr="t"/>
        </w:pict>
      </w:r>
    </w:p>
    <w:bookmarkEnd w:id="25"/>
    <w:bookmarkEnd w:id="26"/>
    <w:bookmarkStart w:id="29" w:name="part-2-system-overview"/>
    <w:p>
      <w:pPr>
        <w:pStyle w:val="Heading2"/>
      </w:pPr>
      <w:r>
        <w:t xml:space="preserve">Part 2 — System Overview</w:t>
      </w:r>
    </w:p>
    <w:bookmarkStart w:id="27" w:name="six-core-components"/>
    <w:p>
      <w:pPr>
        <w:pStyle w:val="Heading3"/>
      </w:pPr>
      <w:r>
        <w:t xml:space="preserve">2.1 Six Core Components</w:t>
      </w:r>
    </w:p>
    <w:p>
      <w:pPr>
        <w:pStyle w:val="FirstParagraph"/>
      </w:pPr>
      <w:r>
        <w:t xml:space="preserve">The system is made up of six distinct components. Each is described in detail in Parts 3 through 8 below.</w:t>
      </w:r>
    </w:p>
    <w:p>
      <w:pPr>
        <w:pStyle w:val="BodyText"/>
      </w:pPr>
      <w:r>
        <w:rPr>
          <w:bCs/>
          <w:b/>
        </w:rPr>
        <w:t xml:space="preserve">Component 1 — QuickBooks Data Sync</w:t>
      </w:r>
      <w:r>
        <w:t xml:space="preserve"> </w:t>
      </w:r>
      <w:r>
        <w:t xml:space="preserve">Connects to the company’s QuickBooks Online account via OAuth 2.0 and pulls three financial reports every night: Profit &amp; Loss, Balance Sheet, and Cash Flow Statement. All numbers needed to calculate every covenant ratio live in these three reports.</w:t>
      </w:r>
    </w:p>
    <w:p>
      <w:pPr>
        <w:pStyle w:val="BodyText"/>
      </w:pPr>
      <w:r>
        <w:rPr>
          <w:bCs/>
          <w:b/>
        </w:rPr>
        <w:t xml:space="preserve">Component 2 — Loan Agreement PDF Parser (AI)</w:t>
      </w:r>
      <w:r>
        <w:t xml:space="preserve"> </w:t>
      </w:r>
      <w:r>
        <w:t xml:space="preserve">The CFO uploads their loan agreement PDF. The AI reads the entire document and extracts every financial covenant — its name, threshold, direction (maximum or minimum), measurement frequency, cure period, and any seasonal carve-outs. This is the only component that requires AI. A human analyst takes 4 to 8 hours to do this manually; the AI completes it in under 60 seconds.</w:t>
      </w:r>
    </w:p>
    <w:p>
      <w:pPr>
        <w:pStyle w:val="BodyText"/>
      </w:pPr>
      <w:r>
        <w:rPr>
          <w:bCs/>
          <w:b/>
        </w:rPr>
        <w:t xml:space="preserve">Component 3 — Ratio Calculator</w:t>
      </w:r>
      <w:r>
        <w:t xml:space="preserve"> </w:t>
      </w:r>
      <w:r>
        <w:t xml:space="preserve">Takes the financial figures from QuickBooks and applies the covenant formulas. Compares each result to the threshold extracted from the loan PDF. Assigns a status to each covenant: PASS, WARNING (within 20% of the threshold), or BREACH.</w:t>
      </w:r>
    </w:p>
    <w:p>
      <w:pPr>
        <w:pStyle w:val="BodyText"/>
      </w:pPr>
      <w:r>
        <w:rPr>
          <w:bCs/>
          <w:b/>
        </w:rPr>
        <w:t xml:space="preserve">Component 4 — 90-Day Forecast Engine</w:t>
      </w:r>
      <w:r>
        <w:t xml:space="preserve"> </w:t>
      </w:r>
      <w:r>
        <w:t xml:space="preserve">Uses the last 12 months of ratio history to project what each ratio will look like in 30, 60, and 90 days. If any forecast shows a projected breach, the alert system is triggered immediately — even if the company is passing today.</w:t>
      </w:r>
    </w:p>
    <w:p>
      <w:pPr>
        <w:pStyle w:val="BodyText"/>
      </w:pPr>
      <w:r>
        <w:rPr>
          <w:bCs/>
          <w:b/>
        </w:rPr>
        <w:t xml:space="preserve">Component 5 — Alert System</w:t>
      </w:r>
      <w:r>
        <w:t xml:space="preserve"> </w:t>
      </w:r>
      <w:r>
        <w:t xml:space="preserve">Sends email alerts to the CFO and the PE firm’s Operating Partner when: a covenant enters WARNING status, a forecast projects a future breach, or an actual breach is detected. Each alert includes the current ratio value, the threshold, the headroom percentage, and a recommended action.</w:t>
      </w:r>
    </w:p>
    <w:p>
      <w:pPr>
        <w:pStyle w:val="BodyText"/>
      </w:pPr>
      <w:r>
        <w:rPr>
          <w:bCs/>
          <w:b/>
        </w:rPr>
        <w:t xml:space="preserve">Component 6 — CFO Dashboard</w:t>
      </w:r>
      <w:r>
        <w:t xml:space="preserve"> </w:t>
      </w:r>
      <w:r>
        <w:t xml:space="preserve">A web application showing: a gauge card for each active covenant (color-coded green/yellow/red), a 90-day forecast trend chart, alert history, QuickBooks connection status, and a one-click button to generate a compliance letter.</w:t>
      </w:r>
    </w:p>
    <w:bookmarkEnd w:id="27"/>
    <w:bookmarkStart w:id="28" w:name="data-flow-plain-language"/>
    <w:p>
      <w:pPr>
        <w:pStyle w:val="Heading3"/>
      </w:pPr>
      <w:r>
        <w:t xml:space="preserve">2.2 Data Flow (Plain Language)</w:t>
      </w:r>
    </w:p>
    <w:p>
      <w:pPr>
        <w:numPr>
          <w:ilvl w:val="0"/>
          <w:numId w:val="1002"/>
        </w:numPr>
        <w:pStyle w:val="Compact"/>
      </w:pPr>
      <w:r>
        <w:t xml:space="preserve">Every night at 2 AM, the system connects to QuickBooks and downloads fresh financial data.</w:t>
      </w:r>
    </w:p>
    <w:p>
      <w:pPr>
        <w:numPr>
          <w:ilvl w:val="0"/>
          <w:numId w:val="1002"/>
        </w:numPr>
        <w:pStyle w:val="Compact"/>
      </w:pPr>
      <w:r>
        <w:t xml:space="preserve">The Ratio Calculator reads the new numbers and recalculates all covenant ratios.</w:t>
      </w:r>
    </w:p>
    <w:p>
      <w:pPr>
        <w:numPr>
          <w:ilvl w:val="0"/>
          <w:numId w:val="1002"/>
        </w:numPr>
        <w:pStyle w:val="Compact"/>
      </w:pPr>
      <w:r>
        <w:t xml:space="preserve">Each ratio is compared against thresholds stored from the original PDF parsing.</w:t>
      </w:r>
    </w:p>
    <w:p>
      <w:pPr>
        <w:numPr>
          <w:ilvl w:val="0"/>
          <w:numId w:val="1002"/>
        </w:numPr>
        <w:pStyle w:val="Compact"/>
      </w:pPr>
      <w:r>
        <w:t xml:space="preserve">The Forecast Engine runs a trend projection on each ratio.</w:t>
      </w:r>
    </w:p>
    <w:p>
      <w:pPr>
        <w:numPr>
          <w:ilvl w:val="0"/>
          <w:numId w:val="1002"/>
        </w:numPr>
        <w:pStyle w:val="Compact"/>
      </w:pPr>
      <w:r>
        <w:t xml:space="preserve">If any ratio or forecast triggers an alert condition, emails are sent automatically.</w:t>
      </w:r>
    </w:p>
    <w:p>
      <w:pPr>
        <w:numPr>
          <w:ilvl w:val="0"/>
          <w:numId w:val="1002"/>
        </w:numPr>
        <w:pStyle w:val="Compact"/>
      </w:pPr>
      <w:r>
        <w:t xml:space="preserve">The dashboard updates immediately so the CFO sees current status on login.</w:t>
      </w:r>
    </w:p>
    <w:p>
      <w:r>
        <w:pict>
          <v:rect style="width:0;height:1.5pt" o:hralign="center" o:hrstd="t" o:hr="t"/>
        </w:pict>
      </w:r>
    </w:p>
    <w:bookmarkEnd w:id="28"/>
    <w:bookmarkEnd w:id="29"/>
    <w:bookmarkStart w:id="33" w:name="X01e13308ebcfecec85145530773873dd156cefb"/>
    <w:p>
      <w:pPr>
        <w:pStyle w:val="Heading2"/>
      </w:pPr>
      <w:r>
        <w:t xml:space="preserve">Part 3 — Feature Specification: QuickBooks Integration</w:t>
      </w:r>
    </w:p>
    <w:bookmarkStart w:id="30" w:name="connection-setup"/>
    <w:p>
      <w:pPr>
        <w:pStyle w:val="Heading3"/>
      </w:pPr>
      <w:r>
        <w:t xml:space="preserve">3.1 Connection Setup</w:t>
      </w:r>
    </w:p>
    <w:p>
      <w:pPr>
        <w:pStyle w:val="FirstParagraph"/>
      </w:pPr>
      <w:r>
        <w:rPr>
          <w:bCs/>
          <w:b/>
        </w:rPr>
        <w:t xml:space="preserve">Feature: QuickBooks Connect Button</w:t>
      </w:r>
      <w:r>
        <w:t xml:space="preserve"> </w:t>
      </w:r>
      <w:r>
        <w:t xml:space="preserve">- A</w:t>
      </w:r>
      <w:r>
        <w:t xml:space="preserve"> </w:t>
      </w:r>
      <w:r>
        <w:t xml:space="preserve">“</w:t>
      </w:r>
      <w:r>
        <w:t xml:space="preserve">Connect QuickBooks</w:t>
      </w:r>
      <w:r>
        <w:t xml:space="preserve">”</w:t>
      </w:r>
      <w:r>
        <w:t xml:space="preserve"> </w:t>
      </w:r>
      <w:r>
        <w:t xml:space="preserve">button appears on the company setup page.</w:t>
      </w:r>
      <w:r>
        <w:t xml:space="preserve"> </w:t>
      </w:r>
      <w:r>
        <w:t xml:space="preserve">- Clicking it launches the standard QuickBooks OAuth 2.0 authorization flow in a new browser window.</w:t>
      </w:r>
      <w:r>
        <w:t xml:space="preserve"> </w:t>
      </w:r>
      <w:r>
        <w:t xml:space="preserve">- The user logs in to QuickBooks, grants permission, and is redirected back to the app.</w:t>
      </w:r>
      <w:r>
        <w:t xml:space="preserve"> </w:t>
      </w:r>
      <w:r>
        <w:t xml:space="preserve">- On successful connection, the system stores the access credentials securely and immediately triggers an initial data sync.</w:t>
      </w:r>
      <w:r>
        <w:t xml:space="preserve"> </w:t>
      </w:r>
      <w:r>
        <w:t xml:space="preserve">- The dashboard shows a green</w:t>
      </w:r>
      <w:r>
        <w:t xml:space="preserve"> </w:t>
      </w:r>
      <w:r>
        <w:t xml:space="preserve">“</w:t>
      </w:r>
      <w:r>
        <w:t xml:space="preserve">Connected — QuickBooks Online</w:t>
      </w:r>
      <w:r>
        <w:t xml:space="preserve">”</w:t>
      </w:r>
      <w:r>
        <w:t xml:space="preserve"> </w:t>
      </w:r>
      <w:r>
        <w:t xml:space="preserve">indicator with the date of the last sync.</w:t>
      </w:r>
    </w:p>
    <w:p>
      <w:pPr>
        <w:pStyle w:val="BodyText"/>
      </w:pPr>
      <w:r>
        <w:rPr>
          <w:bCs/>
          <w:b/>
        </w:rPr>
        <w:t xml:space="preserve">QuickBooks Sandbox for Demo:</w:t>
      </w:r>
      <w:r>
        <w:t xml:space="preserve"> </w:t>
      </w:r>
      <w:r>
        <w:t xml:space="preserve">Use Intuit’s free Sandbox environment at developer.intuit.com. It contains a pre-populated fictional company with 12 months of financial history — no real company data needed for the demo.</w:t>
      </w:r>
    </w:p>
    <w:p>
      <w:pPr>
        <w:pStyle w:val="BodyText"/>
      </w:pPr>
      <w:r>
        <w:rPr>
          <w:bCs/>
          <w:b/>
        </w:rPr>
        <w:t xml:space="preserve">API Version Note:</w:t>
      </w:r>
      <w:r>
        <w:t xml:space="preserve"> </w:t>
      </w:r>
      <w:r>
        <w:t xml:space="preserve">As of August 2025, Intuit requires all requests to use API minor version 75 or higher. All calls must include this version parameter.</w:t>
      </w:r>
    </w:p>
    <w:bookmarkEnd w:id="30"/>
    <w:bookmarkStart w:id="31" w:name="nightly-sync"/>
    <w:p>
      <w:pPr>
        <w:pStyle w:val="Heading3"/>
      </w:pPr>
      <w:r>
        <w:t xml:space="preserve">3.2 Nightly Sync</w:t>
      </w:r>
    </w:p>
    <w:p>
      <w:pPr>
        <w:pStyle w:val="FirstParagraph"/>
      </w:pPr>
      <w:r>
        <w:rPr>
          <w:bCs/>
          <w:b/>
        </w:rPr>
        <w:t xml:space="preserve">Feature: Automated Nightly Data Pull</w:t>
      </w:r>
      <w:r>
        <w:t xml:space="preserve"> </w:t>
      </w:r>
      <w:r>
        <w:t xml:space="preserve">- Runs automatically every night at 2 AM.</w:t>
      </w:r>
      <w:r>
        <w:t xml:space="preserve"> </w:t>
      </w:r>
      <w:r>
        <w:t xml:space="preserve">- Pulls three reports from QuickBooks: Profit &amp; Loss (trailing 12 months), Balance Sheet (as of today), and Cash Flow Statement (trailing 12 months).</w:t>
      </w:r>
      <w:r>
        <w:t xml:space="preserve"> </w:t>
      </w:r>
      <w:r>
        <w:t xml:space="preserve">- Extracts the following specific line items and stores them:</w:t>
      </w:r>
      <w:r>
        <w:t xml:space="preserve"> </w:t>
      </w:r>
      <w:r>
        <w:t xml:space="preserve">- From P&amp;L: Net Income, Interest Expense, Tax Expense, Depreciation, Amortization, Total Revenue, Operating Expenses</w:t>
      </w:r>
      <w:r>
        <w:t xml:space="preserve"> </w:t>
      </w:r>
      <w:r>
        <w:t xml:space="preserve">- From Balance Sheet: Total Assets, Total Liabilities, Current Assets, Current Liabilities, Long-Term Debt, Cash and Equivalents</w:t>
      </w:r>
      <w:r>
        <w:t xml:space="preserve"> </w:t>
      </w:r>
      <w:r>
        <w:t xml:space="preserve">- From Cash Flow: Capital Expenditures, Principal Payments on Debt</w:t>
      </w:r>
      <w:r>
        <w:t xml:space="preserve"> </w:t>
      </w:r>
      <w:r>
        <w:t xml:space="preserve">- After extraction, immediately triggers ratio recalculation and forecast update.</w:t>
      </w:r>
      <w:r>
        <w:t xml:space="preserve"> </w:t>
      </w:r>
      <w:r>
        <w:t xml:space="preserve">- Logs sync status (success or failure) and sends an alert email if sync fails.</w:t>
      </w:r>
    </w:p>
    <w:p>
      <w:pPr>
        <w:pStyle w:val="BodyText"/>
      </w:pPr>
      <w:r>
        <w:rPr>
          <w:bCs/>
          <w:b/>
        </w:rPr>
        <w:t xml:space="preserve">Feature: Manual Sync Button</w:t>
      </w:r>
      <w:r>
        <w:t xml:space="preserve"> </w:t>
      </w:r>
      <w:r>
        <w:t xml:space="preserve">- A</w:t>
      </w:r>
      <w:r>
        <w:t xml:space="preserve"> </w:t>
      </w:r>
      <w:r>
        <w:t xml:space="preserve">“</w:t>
      </w:r>
      <w:r>
        <w:t xml:space="preserve">Sync Now</w:t>
      </w:r>
      <w:r>
        <w:t xml:space="preserve">”</w:t>
      </w:r>
      <w:r>
        <w:t xml:space="preserve"> </w:t>
      </w:r>
      <w:r>
        <w:t xml:space="preserve">button on the dashboard triggers an immediate on-demand data pull.</w:t>
      </w:r>
      <w:r>
        <w:t xml:space="preserve"> </w:t>
      </w:r>
      <w:r>
        <w:t xml:space="preserve">- Shows a loading spinner during sync.</w:t>
      </w:r>
      <w:r>
        <w:t xml:space="preserve"> </w:t>
      </w:r>
      <w:r>
        <w:t xml:space="preserve">- Displays</w:t>
      </w:r>
      <w:r>
        <w:t xml:space="preserve"> </w:t>
      </w:r>
      <w:r>
        <w:t xml:space="preserve">“</w:t>
      </w:r>
      <w:r>
        <w:t xml:space="preserve">Last synced: [timestamp]</w:t>
      </w:r>
      <w:r>
        <w:t xml:space="preserve">”</w:t>
      </w:r>
      <w:r>
        <w:t xml:space="preserve"> </w:t>
      </w:r>
      <w:r>
        <w:t xml:space="preserve">after completion.</w:t>
      </w:r>
    </w:p>
    <w:p>
      <w:pPr>
        <w:pStyle w:val="BodyText"/>
      </w:pPr>
      <w:r>
        <w:rPr>
          <w:bCs/>
          <w:b/>
        </w:rPr>
        <w:t xml:space="preserve">QuickBooks Rate Limits:</w:t>
      </w:r>
      <w:r>
        <w:t xml:space="preserve"> </w:t>
      </w:r>
      <w:r>
        <w:t xml:space="preserve">The API allows 500 requests per minute per company. A nightly sync uses approximately 3 to 5 requests — well within limits. No rate limiting logic is needed for the demo.</w:t>
      </w:r>
    </w:p>
    <w:bookmarkEnd w:id="31"/>
    <w:bookmarkStart w:id="32" w:name="financial-data-display"/>
    <w:p>
      <w:pPr>
        <w:pStyle w:val="Heading3"/>
      </w:pPr>
      <w:r>
        <w:t xml:space="preserve">3.3 Financial Data Display</w:t>
      </w:r>
    </w:p>
    <w:p>
      <w:pPr>
        <w:pStyle w:val="FirstParagraph"/>
      </w:pPr>
      <w:r>
        <w:rPr>
          <w:bCs/>
          <w:b/>
        </w:rPr>
        <w:t xml:space="preserve">Feature: Raw Financials Panel</w:t>
      </w:r>
      <w:r>
        <w:t xml:space="preserve"> </w:t>
      </w:r>
      <w:r>
        <w:t xml:space="preserve">- A collapsible panel on the dashboard shows the key financial figures pulled from QuickBooks.</w:t>
      </w:r>
      <w:r>
        <w:t xml:space="preserve"> </w:t>
      </w:r>
      <w:r>
        <w:t xml:space="preserve">- Displayed as a simple table: line item name, value, and the QuickBooks report it came from.</w:t>
      </w:r>
      <w:r>
        <w:t xml:space="preserve"> </w:t>
      </w:r>
      <w:r>
        <w:t xml:space="preserve">- This gives CFOs confidence that the numbers feeding the ratios are correct.</w:t>
      </w:r>
    </w:p>
    <w:p>
      <w:r>
        <w:pict>
          <v:rect style="width:0;height:1.5pt" o:hralign="center" o:hrstd="t" o:hr="t"/>
        </w:pict>
      </w:r>
    </w:p>
    <w:bookmarkEnd w:id="32"/>
    <w:bookmarkEnd w:id="33"/>
    <w:bookmarkStart w:id="37" w:name="X472c6a17b29475f76cb2f34aca0c2ba96ed89c0"/>
    <w:p>
      <w:pPr>
        <w:pStyle w:val="Heading2"/>
      </w:pPr>
      <w:r>
        <w:t xml:space="preserve">Part 4 — Feature Specification: Loan PDF Parser (AI)</w:t>
      </w:r>
    </w:p>
    <w:bookmarkStart w:id="34" w:name="pdf-upload"/>
    <w:p>
      <w:pPr>
        <w:pStyle w:val="Heading3"/>
      </w:pPr>
      <w:r>
        <w:t xml:space="preserve">4.1 PDF Upload</w:t>
      </w:r>
    </w:p>
    <w:p>
      <w:pPr>
        <w:pStyle w:val="FirstParagraph"/>
      </w:pPr>
      <w:r>
        <w:rPr>
          <w:bCs/>
          <w:b/>
        </w:rPr>
        <w:t xml:space="preserve">Feature: Loan Agreement Upload</w:t>
      </w:r>
      <w:r>
        <w:t xml:space="preserve"> </w:t>
      </w:r>
      <w:r>
        <w:t xml:space="preserve">- A file upload area on the company setup page accepts PDF files up to 50MB.</w:t>
      </w:r>
      <w:r>
        <w:t xml:space="preserve"> </w:t>
      </w:r>
      <w:r>
        <w:t xml:space="preserve">- Supported format: PDF only (loan agreements are always delivered as PDFs).</w:t>
      </w:r>
      <w:r>
        <w:t xml:space="preserve"> </w:t>
      </w:r>
      <w:r>
        <w:t xml:space="preserve">- After upload, the system displays a progress indicator with the message:</w:t>
      </w:r>
      <w:r>
        <w:t xml:space="preserve"> </w:t>
      </w:r>
      <w:r>
        <w:t xml:space="preserve">“</w:t>
      </w:r>
      <w:r>
        <w:t xml:space="preserve">Reading your loan agreement…</w:t>
      </w:r>
      <w:r>
        <w:t xml:space="preserve">”</w:t>
      </w:r>
      <w:r>
        <w:t xml:space="preserve"> </w:t>
      </w:r>
      <w:r>
        <w:t xml:space="preserve">- Processing time: 30 to 90 seconds depending on document length.</w:t>
      </w:r>
    </w:p>
    <w:bookmarkEnd w:id="34"/>
    <w:bookmarkStart w:id="35" w:name="ai-covenant-extraction"/>
    <w:p>
      <w:pPr>
        <w:pStyle w:val="Heading3"/>
      </w:pPr>
      <w:r>
        <w:t xml:space="preserve">4.2 AI Covenant Extraction</w:t>
      </w:r>
    </w:p>
    <w:p>
      <w:pPr>
        <w:pStyle w:val="FirstParagraph"/>
      </w:pPr>
      <w:r>
        <w:rPr>
          <w:bCs/>
          <w:b/>
        </w:rPr>
        <w:t xml:space="preserve">Feature: Automatic Covenant Detection</w:t>
      </w:r>
      <w:r>
        <w:t xml:space="preserve"> </w:t>
      </w:r>
      <w:r>
        <w:t xml:space="preserve">The AI reads the entire loan agreement and identifies every financial covenant. For each covenant found, it extracts and stores: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Covenant Name</w:t>
            </w:r>
          </w:p>
        </w:tc>
        <w:tc>
          <w:tcPr/>
          <w:p>
            <w:pPr>
              <w:pStyle w:val="Compact"/>
              <w:jc w:val="left"/>
            </w:pPr>
            <w:r>
              <w:t xml:space="preserve">The official name as written in the agreement</w:t>
            </w:r>
          </w:p>
        </w:tc>
        <w:tc>
          <w:tcPr/>
          <w:p>
            <w:pPr>
              <w:pStyle w:val="Compact"/>
              <w:jc w:val="left"/>
            </w:pPr>
            <w:r>
              <w:t xml:space="preserve">“</w:t>
            </w:r>
            <w:r>
              <w:t xml:space="preserve">Maximum Total Leverage Ratio</w:t>
            </w:r>
            <w:r>
              <w:t xml:space="preserve">”</w:t>
            </w:r>
          </w:p>
        </w:tc>
      </w:tr>
      <w:tr>
        <w:tc>
          <w:tcPr/>
          <w:p>
            <w:pPr>
              <w:pStyle w:val="Compact"/>
              <w:jc w:val="left"/>
            </w:pPr>
            <w:r>
              <w:t xml:space="preserve">Ratio Type</w:t>
            </w:r>
          </w:p>
        </w:tc>
        <w:tc>
          <w:tcPr/>
          <w:p>
            <w:pPr>
              <w:pStyle w:val="Compact"/>
              <w:jc w:val="left"/>
            </w:pPr>
            <w:r>
              <w:t xml:space="preserve">Which of the five standard ratio types it maps to</w:t>
            </w:r>
          </w:p>
        </w:tc>
        <w:tc>
          <w:tcPr/>
          <w:p>
            <w:pPr>
              <w:pStyle w:val="Compact"/>
              <w:jc w:val="left"/>
            </w:pPr>
            <w:r>
              <w:t xml:space="preserve">Leverage Ratio</w:t>
            </w:r>
          </w:p>
        </w:tc>
      </w:tr>
      <w:tr>
        <w:tc>
          <w:tcPr/>
          <w:p>
            <w:pPr>
              <w:pStyle w:val="Compact"/>
              <w:jc w:val="left"/>
            </w:pPr>
            <w:r>
              <w:t xml:space="preserve">Threshold</w:t>
            </w:r>
          </w:p>
        </w:tc>
        <w:tc>
          <w:tcPr/>
          <w:p>
            <w:pPr>
              <w:pStyle w:val="Compact"/>
              <w:jc w:val="left"/>
            </w:pPr>
            <w:r>
              <w:t xml:space="preserve">The numeric limit</w:t>
            </w:r>
          </w:p>
        </w:tc>
        <w:tc>
          <w:tcPr/>
          <w:p>
            <w:pPr>
              <w:pStyle w:val="Compact"/>
              <w:jc w:val="left"/>
            </w:pPr>
            <w:r>
              <w:t xml:space="preserve">4.00</w:t>
            </w:r>
          </w:p>
        </w:tc>
      </w:tr>
      <w:tr>
        <w:tc>
          <w:tcPr/>
          <w:p>
            <w:pPr>
              <w:pStyle w:val="Compact"/>
              <w:jc w:val="left"/>
            </w:pPr>
            <w:r>
              <w:t xml:space="preserve">Direction</w:t>
            </w:r>
          </w:p>
        </w:tc>
        <w:tc>
          <w:tcPr/>
          <w:p>
            <w:pPr>
              <w:pStyle w:val="Compact"/>
              <w:jc w:val="left"/>
            </w:pPr>
            <w:r>
              <w:t xml:space="preserve">Whether the ratio must stay below or above the threshold</w:t>
            </w:r>
          </w:p>
        </w:tc>
        <w:tc>
          <w:tcPr/>
          <w:p>
            <w:pPr>
              <w:pStyle w:val="Compact"/>
              <w:jc w:val="left"/>
            </w:pPr>
            <w:r>
              <w:t xml:space="preserve">Maximum (must stay below)</w:t>
            </w:r>
          </w:p>
        </w:tc>
      </w:tr>
      <w:tr>
        <w:tc>
          <w:tcPr/>
          <w:p>
            <w:pPr>
              <w:pStyle w:val="Compact"/>
              <w:jc w:val="left"/>
            </w:pPr>
            <w:r>
              <w:t xml:space="preserve">Measurement Period</w:t>
            </w:r>
          </w:p>
        </w:tc>
        <w:tc>
          <w:tcPr/>
          <w:p>
            <w:pPr>
              <w:pStyle w:val="Compact"/>
              <w:jc w:val="left"/>
            </w:pPr>
            <w:r>
              <w:t xml:space="preserve">How often compliance is tested</w:t>
            </w:r>
          </w:p>
        </w:tc>
        <w:tc>
          <w:tcPr/>
          <w:p>
            <w:pPr>
              <w:pStyle w:val="Compact"/>
              <w:jc w:val="left"/>
            </w:pPr>
            <w:r>
              <w:t xml:space="preserve">Quarterly</w:t>
            </w:r>
          </w:p>
        </w:tc>
      </w:tr>
      <w:tr>
        <w:tc>
          <w:tcPr/>
          <w:p>
            <w:pPr>
              <w:pStyle w:val="Compact"/>
              <w:jc w:val="left"/>
            </w:pPr>
            <w:r>
              <w:t xml:space="preserve">Cure Period</w:t>
            </w:r>
          </w:p>
        </w:tc>
        <w:tc>
          <w:tcPr/>
          <w:p>
            <w:pPr>
              <w:pStyle w:val="Compact"/>
              <w:jc w:val="left"/>
            </w:pPr>
            <w:r>
              <w:t xml:space="preserve">Days the company has to fix a breach before default is declared</w:t>
            </w:r>
          </w:p>
        </w:tc>
        <w:tc>
          <w:tcPr/>
          <w:p>
            <w:pPr>
              <w:pStyle w:val="Compact"/>
              <w:jc w:val="left"/>
            </w:pPr>
            <w:r>
              <w:t xml:space="preserve">30 days</w:t>
            </w:r>
          </w:p>
        </w:tc>
      </w:tr>
      <w:tr>
        <w:tc>
          <w:tcPr/>
          <w:p>
            <w:pPr>
              <w:pStyle w:val="Compact"/>
              <w:jc w:val="left"/>
            </w:pPr>
            <w:r>
              <w:t xml:space="preserve">Seasonal Carve-outs</w:t>
            </w:r>
          </w:p>
        </w:tc>
        <w:tc>
          <w:tcPr/>
          <w:p>
            <w:pPr>
              <w:pStyle w:val="Compact"/>
              <w:jc w:val="left"/>
            </w:pPr>
            <w:r>
              <w:t xml:space="preserve">If the threshold changes in certain quarters</w:t>
            </w:r>
          </w:p>
        </w:tc>
        <w:tc>
          <w:tcPr/>
          <w:p>
            <w:pPr>
              <w:pStyle w:val="Compact"/>
              <w:jc w:val="left"/>
            </w:pPr>
            <w:r>
              <w:t xml:space="preserve">4.25x for Q4 and Q1</w:t>
            </w:r>
          </w:p>
        </w:tc>
      </w:tr>
      <w:tr>
        <w:tc>
          <w:tcPr/>
          <w:p>
            <w:pPr>
              <w:pStyle w:val="Compact"/>
              <w:jc w:val="left"/>
            </w:pPr>
            <w:r>
              <w:t xml:space="preserve">Plain English Description</w:t>
            </w:r>
          </w:p>
        </w:tc>
        <w:tc>
          <w:tcPr/>
          <w:p>
            <w:pPr>
              <w:pStyle w:val="Compact"/>
              <w:jc w:val="left"/>
            </w:pPr>
            <w:r>
              <w:t xml:space="preserve">A one-sentence explanation in non-legal language</w:t>
            </w:r>
          </w:p>
        </w:tc>
        <w:tc>
          <w:tcPr/>
          <w:p>
            <w:pPr>
              <w:pStyle w:val="Compact"/>
              <w:jc w:val="left"/>
            </w:pPr>
            <w:r>
              <w:t xml:space="preserve">“</w:t>
            </w:r>
            <w:r>
              <w:t xml:space="preserve">Total debt cannot exceed 4x annual earnings</w:t>
            </w:r>
            <w:r>
              <w:t xml:space="preserve">”</w:t>
            </w:r>
          </w:p>
        </w:tc>
      </w:tr>
      <w:tr>
        <w:tc>
          <w:tcPr/>
          <w:p>
            <w:pPr>
              <w:pStyle w:val="Compact"/>
              <w:jc w:val="left"/>
            </w:pPr>
            <w:r>
              <w:t xml:space="preserve">Page Reference</w:t>
            </w:r>
          </w:p>
        </w:tc>
        <w:tc>
          <w:tcPr/>
          <w:p>
            <w:pPr>
              <w:pStyle w:val="Compact"/>
              <w:jc w:val="left"/>
            </w:pPr>
            <w:r>
              <w:t xml:space="preserve">Page number in the agreement where this covenant appears</w:t>
            </w:r>
          </w:p>
        </w:tc>
        <w:tc>
          <w:tcPr/>
          <w:p>
            <w:pPr>
              <w:pStyle w:val="Compact"/>
              <w:jc w:val="left"/>
            </w:pPr>
            <w:r>
              <w:t xml:space="preserve">Page 47</w:t>
            </w:r>
          </w:p>
        </w:tc>
      </w:tr>
    </w:tbl>
    <w:p>
      <w:pPr>
        <w:pStyle w:val="BodyText"/>
      </w:pPr>
      <w:r>
        <w:rPr>
          <w:bCs/>
          <w:b/>
        </w:rPr>
        <w:t xml:space="preserve">Feature: Extraction Review Screen</w:t>
      </w:r>
      <w:r>
        <w:t xml:space="preserve"> </w:t>
      </w:r>
      <w:r>
        <w:t xml:space="preserve">- After parsing, the system displays a review screen showing all extracted covenants in a table.</w:t>
      </w:r>
      <w:r>
        <w:t xml:space="preserve"> </w:t>
      </w:r>
      <w:r>
        <w:t xml:space="preserve">- The CFO can edit any field if the AI made an error (e.g., wrong threshold number).</w:t>
      </w:r>
      <w:r>
        <w:t xml:space="preserve"> </w:t>
      </w:r>
      <w:r>
        <w:t xml:space="preserve">- A</w:t>
      </w:r>
      <w:r>
        <w:t xml:space="preserve"> </w:t>
      </w:r>
      <w:r>
        <w:t xml:space="preserve">“</w:t>
      </w:r>
      <w:r>
        <w:t xml:space="preserve">Confirm and Activate</w:t>
      </w:r>
      <w:r>
        <w:t xml:space="preserve">”</w:t>
      </w:r>
      <w:r>
        <w:t xml:space="preserve"> </w:t>
      </w:r>
      <w:r>
        <w:t xml:space="preserve">button saves the covenants and starts monitoring.</w:t>
      </w:r>
      <w:r>
        <w:t xml:space="preserve"> </w:t>
      </w:r>
      <w:r>
        <w:t xml:space="preserve">- The system also highlights any covenants it was uncertain about, flagged in yellow for human review.</w:t>
      </w:r>
    </w:p>
    <w:p>
      <w:pPr>
        <w:pStyle w:val="BodyText"/>
      </w:pPr>
      <w:r>
        <w:rPr>
          <w:bCs/>
          <w:b/>
        </w:rPr>
        <w:t xml:space="preserve">Feature: Re-upload / Amendment Handling</w:t>
      </w:r>
      <w:r>
        <w:t xml:space="preserve"> </w:t>
      </w:r>
      <w:r>
        <w:t xml:space="preserve">- If the loan agreement is amended, the CFO can upload the new PDF.</w:t>
      </w:r>
      <w:r>
        <w:t xml:space="preserve"> </w:t>
      </w:r>
      <w:r>
        <w:t xml:space="preserve">- The system shows a side-by-side comparison of old vs. new covenants.</w:t>
      </w:r>
      <w:r>
        <w:t xml:space="preserve"> </w:t>
      </w:r>
      <w:r>
        <w:t xml:space="preserve">- The CFO confirms changes before they take effect.</w:t>
      </w:r>
    </w:p>
    <w:bookmarkEnd w:id="35"/>
    <w:bookmarkStart w:id="36" w:name="what-the-ai-reads"/>
    <w:p>
      <w:pPr>
        <w:pStyle w:val="Heading3"/>
      </w:pPr>
      <w:r>
        <w:t xml:space="preserve">4.3 What the AI Reads</w:t>
      </w:r>
    </w:p>
    <w:p>
      <w:pPr>
        <w:pStyle w:val="FirstParagraph"/>
      </w:pPr>
      <w:r>
        <w:t xml:space="preserve">Sample covenant language the AI must correctly parse:</w:t>
      </w:r>
    </w:p>
    <w:p>
      <w:pPr>
        <w:pStyle w:val="BodyText"/>
      </w:pPr>
      <w:r>
        <w:rPr>
          <w:iCs/>
          <w:i/>
        </w:rPr>
        <w:t xml:space="preserve">“</w:t>
      </w:r>
      <w:r>
        <w:rPr>
          <w:iCs/>
          <w:i/>
        </w:rPr>
        <w:t xml:space="preserve">(a) Maximum Total Leverage Ratio. The Borrower shall not permit the Total Leverage Ratio, measured as of the last day of each fiscal quarter of the Borrower, to exceed 4.00 to 1.00; provided that, solely for the fiscal quarters ending December 31 and March 31 of each fiscal year, such ratio shall not exceed 4.25 to 1.00.</w:t>
      </w:r>
      <w:r>
        <w:rPr>
          <w:iCs/>
          <w:i/>
        </w:rPr>
        <w:t xml:space="preserve">”</w:t>
      </w:r>
    </w:p>
    <w:p>
      <w:pPr>
        <w:pStyle w:val="BodyText"/>
      </w:pPr>
      <w:r>
        <w:t xml:space="preserve">From this, the AI must correctly extract: threshold of 4.0x (with a 4.25x seasonal carve-out for Q4 and Q1), direction maximum, measurement period quarterly, and flag the seasonal exception for human confirmation.</w:t>
      </w:r>
    </w:p>
    <w:p>
      <w:r>
        <w:pict>
          <v:rect style="width:0;height:1.5pt" o:hralign="center" o:hrstd="t" o:hr="t"/>
        </w:pict>
      </w:r>
    </w:p>
    <w:bookmarkEnd w:id="36"/>
    <w:bookmarkEnd w:id="37"/>
    <w:bookmarkStart w:id="41" w:name="Xd7270dd51c0b0cf73174877205269130fb91562"/>
    <w:p>
      <w:pPr>
        <w:pStyle w:val="Heading2"/>
      </w:pPr>
      <w:r>
        <w:t xml:space="preserve">Part 5 — Feature Specification: Ratio Calculator</w:t>
      </w:r>
    </w:p>
    <w:bookmarkStart w:id="38" w:name="calculation-logic"/>
    <w:p>
      <w:pPr>
        <w:pStyle w:val="Heading3"/>
      </w:pPr>
      <w:r>
        <w:t xml:space="preserve">5.1 Calculation Logic</w:t>
      </w:r>
    </w:p>
    <w:p>
      <w:pPr>
        <w:pStyle w:val="FirstParagraph"/>
      </w:pPr>
      <w:r>
        <w:t xml:space="preserve">The system calculates the following five ratios using QuickBooks data. All calculations use Trailing Twelve Month (TTM) figures unless the loan agreement specifies otherwise.</w:t>
      </w:r>
    </w:p>
    <w:p>
      <w:pPr>
        <w:pStyle w:val="BodyText"/>
      </w:pPr>
      <w:r>
        <w:rPr>
          <w:bCs/>
          <w:b/>
        </w:rPr>
        <w:t xml:space="preserve">Leverage Ratio</w:t>
      </w:r>
      <w:r>
        <w:t xml:space="preserve"> </w:t>
      </w:r>
      <w:r>
        <w:t xml:space="preserve">Formula: Total Debt ÷ EBITDA</w:t>
      </w:r>
      <w:r>
        <w:t xml:space="preserve"> </w:t>
      </w:r>
      <w:r>
        <w:t xml:space="preserve">Where EBITDA = Net Income + Interest Expense + Tax Expense + Depreciation + Amortization</w:t>
      </w:r>
      <w:r>
        <w:t xml:space="preserve"> </w:t>
      </w:r>
      <w:r>
        <w:t xml:space="preserve">All five EBITDA components are pulled directly from the QuickBooks Profit &amp; Loss report.</w:t>
      </w:r>
      <w:r>
        <w:t xml:space="preserve"> </w:t>
      </w:r>
      <w:r>
        <w:t xml:space="preserve">Total Debt is pulled from the QuickBooks Balance Sheet.</w:t>
      </w:r>
    </w:p>
    <w:p>
      <w:pPr>
        <w:pStyle w:val="BodyText"/>
      </w:pPr>
      <w:r>
        <w:rPr>
          <w:bCs/>
          <w:b/>
        </w:rPr>
        <w:t xml:space="preserve">Interest Coverage Ratio</w:t>
      </w:r>
      <w:r>
        <w:t xml:space="preserve"> </w:t>
      </w:r>
      <w:r>
        <w:t xml:space="preserve">Formula: EBITDA ÷ Interest Expense</w:t>
      </w:r>
      <w:r>
        <w:t xml:space="preserve"> </w:t>
      </w:r>
      <w:r>
        <w:t xml:space="preserve">Both figures available from the QuickBooks Profit &amp; Loss report.</w:t>
      </w:r>
    </w:p>
    <w:p>
      <w:pPr>
        <w:pStyle w:val="BodyText"/>
      </w:pPr>
      <w:r>
        <w:rPr>
          <w:bCs/>
          <w:b/>
        </w:rPr>
        <w:t xml:space="preserve">Fixed Charge Coverage Ratio</w:t>
      </w:r>
      <w:r>
        <w:t xml:space="preserve"> </w:t>
      </w:r>
      <w:r>
        <w:t xml:space="preserve">Formula: (EBITDA − Capital Expenditures) ÷ (Interest Expense + Principal Payments)</w:t>
      </w:r>
      <w:r>
        <w:t xml:space="preserve"> </w:t>
      </w:r>
      <w:r>
        <w:t xml:space="preserve">CapEx comes from the Cash Flow Statement. Principal Payments come from the Cash Flow Statement under Financing Activities.</w:t>
      </w:r>
    </w:p>
    <w:p>
      <w:pPr>
        <w:pStyle w:val="BodyText"/>
      </w:pPr>
      <w:r>
        <w:rPr>
          <w:bCs/>
          <w:b/>
        </w:rPr>
        <w:t xml:space="preserve">Current Ratio</w:t>
      </w:r>
      <w:r>
        <w:t xml:space="preserve"> </w:t>
      </w:r>
      <w:r>
        <w:t xml:space="preserve">Formula: Current Assets ÷ Current Liabilities</w:t>
      </w:r>
      <w:r>
        <w:t xml:space="preserve"> </w:t>
      </w:r>
      <w:r>
        <w:t xml:space="preserve">Both figures available directly from the QuickBooks Balance Sheet.</w:t>
      </w:r>
    </w:p>
    <w:p>
      <w:pPr>
        <w:pStyle w:val="BodyText"/>
      </w:pPr>
      <w:r>
        <w:rPr>
          <w:bCs/>
          <w:b/>
        </w:rPr>
        <w:t xml:space="preserve">Minimum Liquidity</w:t>
      </w:r>
      <w:r>
        <w:t xml:space="preserve"> </w:t>
      </w:r>
      <w:r>
        <w:t xml:space="preserve">Formula: Cash and Cash Equivalents (compared against a dollar floor, not a ratio)</w:t>
      </w:r>
      <w:r>
        <w:t xml:space="preserve"> </w:t>
      </w:r>
      <w:r>
        <w:t xml:space="preserve">Pulled directly from the Balance Sheet.</w:t>
      </w:r>
    </w:p>
    <w:bookmarkEnd w:id="38"/>
    <w:bookmarkStart w:id="39" w:name="status-assignment"/>
    <w:p>
      <w:pPr>
        <w:pStyle w:val="Heading3"/>
      </w:pPr>
      <w:r>
        <w:t xml:space="preserve">5.2 Status Assignment</w:t>
      </w:r>
    </w:p>
    <w:p>
      <w:pPr>
        <w:pStyle w:val="FirstParagraph"/>
      </w:pPr>
      <w:r>
        <w:t xml:space="preserve">After calculating each ratio, the system assigns one of three statuses: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Color</w:t>
            </w:r>
          </w:p>
        </w:tc>
        <w:tc>
          <w:tcPr/>
          <w:p>
            <w:pPr>
              <w:pStyle w:val="Compact"/>
              <w:jc w:val="left"/>
            </w:pPr>
            <w:r>
              <w:t xml:space="preserve">Condition</w:t>
            </w:r>
          </w:p>
        </w:tc>
      </w:tr>
      <w:tr>
        <w:tc>
          <w:tcPr/>
          <w:p>
            <w:pPr>
              <w:pStyle w:val="Compact"/>
              <w:jc w:val="left"/>
            </w:pPr>
            <w:r>
              <w:t xml:space="preserve">PASS</w:t>
            </w:r>
          </w:p>
        </w:tc>
        <w:tc>
          <w:tcPr/>
          <w:p>
            <w:pPr>
              <w:pStyle w:val="Compact"/>
              <w:jc w:val="left"/>
            </w:pPr>
            <w:r>
              <w:t xml:space="preserve">Green</w:t>
            </w:r>
          </w:p>
        </w:tc>
        <w:tc>
          <w:tcPr/>
          <w:p>
            <w:pPr>
              <w:pStyle w:val="Compact"/>
              <w:jc w:val="left"/>
            </w:pPr>
            <w:r>
              <w:t xml:space="preserve">Ratio is compliant and has more than 20% headroom before the threshold</w:t>
            </w:r>
          </w:p>
        </w:tc>
      </w:tr>
      <w:tr>
        <w:tc>
          <w:tcPr/>
          <w:p>
            <w:pPr>
              <w:pStyle w:val="Compact"/>
              <w:jc w:val="left"/>
            </w:pPr>
            <w:r>
              <w:t xml:space="preserve">WARNING</w:t>
            </w:r>
          </w:p>
        </w:tc>
        <w:tc>
          <w:tcPr/>
          <w:p>
            <w:pPr>
              <w:pStyle w:val="Compact"/>
              <w:jc w:val="left"/>
            </w:pPr>
            <w:r>
              <w:t xml:space="preserve">Yellow</w:t>
            </w:r>
          </w:p>
        </w:tc>
        <w:tc>
          <w:tcPr/>
          <w:p>
            <w:pPr>
              <w:pStyle w:val="Compact"/>
              <w:jc w:val="left"/>
            </w:pPr>
            <w:r>
              <w:t xml:space="preserve">Ratio is compliant but within 20% of the threshold</w:t>
            </w:r>
          </w:p>
        </w:tc>
      </w:tr>
      <w:tr>
        <w:tc>
          <w:tcPr/>
          <w:p>
            <w:pPr>
              <w:pStyle w:val="Compact"/>
              <w:jc w:val="left"/>
            </w:pPr>
            <w:r>
              <w:t xml:space="preserve">BREACH</w:t>
            </w:r>
          </w:p>
        </w:tc>
        <w:tc>
          <w:tcPr/>
          <w:p>
            <w:pPr>
              <w:pStyle w:val="Compact"/>
              <w:jc w:val="left"/>
            </w:pPr>
            <w:r>
              <w:t xml:space="preserve">Red</w:t>
            </w:r>
          </w:p>
        </w:tc>
        <w:tc>
          <w:tcPr/>
          <w:p>
            <w:pPr>
              <w:pStyle w:val="Compact"/>
              <w:jc w:val="left"/>
            </w:pPr>
            <w:r>
              <w:t xml:space="preserve">Ratio has crossed the threshold — technical default</w:t>
            </w:r>
          </w:p>
        </w:tc>
      </w:tr>
    </w:tbl>
    <w:p>
      <w:pPr>
        <w:pStyle w:val="BodyText"/>
      </w:pPr>
      <w:r>
        <w:t xml:space="preserve">Headroom percentage is calculated and displayed alongside each status. For example, a leverage ratio of 3.8x against a 4.0x maximum has 5% headroom.</w:t>
      </w:r>
    </w:p>
    <w:bookmarkEnd w:id="39"/>
    <w:bookmarkStart w:id="40" w:name="calculation-history"/>
    <w:p>
      <w:pPr>
        <w:pStyle w:val="Heading3"/>
      </w:pPr>
      <w:r>
        <w:t xml:space="preserve">5.3 Calculation History</w:t>
      </w:r>
    </w:p>
    <w:p>
      <w:pPr>
        <w:pStyle w:val="FirstParagraph"/>
      </w:pPr>
      <w:r>
        <w:t xml:space="preserve">Every daily calculation is stored with a timestamp. The system retains 24 months of daily snapshots per covenant per company. This history feeds the forecast engine and the trend chart on the dashboard.</w:t>
      </w:r>
    </w:p>
    <w:p>
      <w:r>
        <w:pict>
          <v:rect style="width:0;height:1.5pt" o:hralign="center" o:hrstd="t" o:hr="t"/>
        </w:pict>
      </w:r>
    </w:p>
    <w:bookmarkEnd w:id="40"/>
    <w:bookmarkEnd w:id="41"/>
    <w:bookmarkStart w:id="46" w:name="X4706f44dbd3429148fc7cabadb53052fe21fbba"/>
    <w:p>
      <w:pPr>
        <w:pStyle w:val="Heading2"/>
      </w:pPr>
      <w:r>
        <w:t xml:space="preserve">Part 6 — Feature Specification: 90-Day Forecast Engine</w:t>
      </w:r>
    </w:p>
    <w:bookmarkStart w:id="42" w:name="how-forecasting-works"/>
    <w:p>
      <w:pPr>
        <w:pStyle w:val="Heading3"/>
      </w:pPr>
      <w:r>
        <w:t xml:space="preserve">6.1 How Forecasting Works</w:t>
      </w:r>
    </w:p>
    <w:p>
      <w:pPr>
        <w:pStyle w:val="FirstParagraph"/>
      </w:pPr>
      <w:r>
        <w:t xml:space="preserve">The system uses the last 12 months of monthly ratio values to fit a trend line and project each ratio forward by 30, 60, and 90 days. This is a linear trend projection — no machine learning required. The logic is: if the leverage ratio has been increasing by an average of 0.08x per month over the last year, it will be 0.48x higher in 6 months.</w:t>
      </w:r>
    </w:p>
    <w:bookmarkEnd w:id="42"/>
    <w:bookmarkStart w:id="43" w:name="forecast-outputs"/>
    <w:p>
      <w:pPr>
        <w:pStyle w:val="Heading3"/>
      </w:pPr>
      <w:r>
        <w:t xml:space="preserve">6.2 Forecast Outputs</w:t>
      </w:r>
    </w:p>
    <w:p>
      <w:pPr>
        <w:pStyle w:val="FirstParagraph"/>
      </w:pPr>
      <w:r>
        <w:t xml:space="preserve">For each covenant, the forecast engine produces:</w:t>
      </w:r>
    </w:p>
    <w:p>
      <w:pPr>
        <w:numPr>
          <w:ilvl w:val="0"/>
          <w:numId w:val="1003"/>
        </w:numPr>
        <w:pStyle w:val="Compact"/>
      </w:pPr>
      <w:r>
        <w:t xml:space="preserve">Projected ratio value at 30 days from today</w:t>
      </w:r>
    </w:p>
    <w:p>
      <w:pPr>
        <w:numPr>
          <w:ilvl w:val="0"/>
          <w:numId w:val="1003"/>
        </w:numPr>
        <w:pStyle w:val="Compact"/>
      </w:pPr>
      <w:r>
        <w:t xml:space="preserve">Projected ratio value at 60 days from today</w:t>
      </w:r>
    </w:p>
    <w:p>
      <w:pPr>
        <w:numPr>
          <w:ilvl w:val="0"/>
          <w:numId w:val="1003"/>
        </w:numPr>
        <w:pStyle w:val="Compact"/>
      </w:pPr>
      <w:r>
        <w:t xml:space="preserve">Projected ratio value at 90 days from today</w:t>
      </w:r>
    </w:p>
    <w:p>
      <w:pPr>
        <w:numPr>
          <w:ilvl w:val="0"/>
          <w:numId w:val="1003"/>
        </w:numPr>
        <w:pStyle w:val="Compact"/>
      </w:pPr>
      <w:r>
        <w:t xml:space="preserve">Projected status at each point (PASS, WARNING, or BREACH)</w:t>
      </w:r>
    </w:p>
    <w:p>
      <w:pPr>
        <w:numPr>
          <w:ilvl w:val="0"/>
          <w:numId w:val="1003"/>
        </w:numPr>
        <w:pStyle w:val="Compact"/>
      </w:pPr>
      <w:r>
        <w:t xml:space="preserve">If a projected breach is detected: estimated days until breach</w:t>
      </w:r>
    </w:p>
    <w:bookmarkEnd w:id="43"/>
    <w:bookmarkStart w:id="44" w:name="forecast-alerts"/>
    <w:p>
      <w:pPr>
        <w:pStyle w:val="Heading3"/>
      </w:pPr>
      <w:r>
        <w:t xml:space="preserve">6.3 Forecast Alerts</w:t>
      </w:r>
    </w:p>
    <w:p>
      <w:pPr>
        <w:pStyle w:val="FirstParagraph"/>
      </w:pPr>
      <w:r>
        <w:t xml:space="preserve">The forecast engine triggers an alert under two conditions:</w:t>
      </w:r>
      <w:r>
        <w:t xml:space="preserve"> </w:t>
      </w:r>
      <w:r>
        <w:t xml:space="preserve">- The 90-day projection shows a projected BREACH (even if today’s status is PASS)</w:t>
      </w:r>
      <w:r>
        <w:t xml:space="preserve"> </w:t>
      </w:r>
      <w:r>
        <w:t xml:space="preserve">- The 60-day projection shows a projected WARNING (even if today’s status is PASS)</w:t>
      </w:r>
    </w:p>
    <w:p>
      <w:pPr>
        <w:pStyle w:val="BodyText"/>
      </w:pPr>
      <w:r>
        <w:t xml:space="preserve">This gives the CFO a minimum 60-day runway to take corrective action before a breach materializes.</w:t>
      </w:r>
    </w:p>
    <w:bookmarkEnd w:id="44"/>
    <w:bookmarkStart w:id="45" w:name="forecast-accuracy-disclaimer"/>
    <w:p>
      <w:pPr>
        <w:pStyle w:val="Heading3"/>
      </w:pPr>
      <w:r>
        <w:t xml:space="preserve">6.4 Forecast Accuracy Disclaimer</w:t>
      </w:r>
    </w:p>
    <w:p>
      <w:pPr>
        <w:pStyle w:val="FirstParagraph"/>
      </w:pPr>
      <w:r>
        <w:t xml:space="preserve">The dashboard displays a note:</w:t>
      </w:r>
      <w:r>
        <w:t xml:space="preserve"> </w:t>
      </w:r>
      <w:r>
        <w:t xml:space="preserve">“</w:t>
      </w:r>
      <w:r>
        <w:t xml:space="preserve">Forecasts are based on recent financial trends and are for planning purposes only. Actual results depend on business performance.</w:t>
      </w:r>
      <w:r>
        <w:t xml:space="preserve">”</w:t>
      </w:r>
      <w:r>
        <w:t xml:space="preserve"> </w:t>
      </w:r>
      <w:r>
        <w:t xml:space="preserve">This is important for legal and professional reasons.</w:t>
      </w:r>
    </w:p>
    <w:p>
      <w:r>
        <w:pict>
          <v:rect style="width:0;height:1.5pt" o:hralign="center" o:hrstd="t" o:hr="t"/>
        </w:pict>
      </w:r>
    </w:p>
    <w:bookmarkEnd w:id="45"/>
    <w:bookmarkEnd w:id="46"/>
    <w:bookmarkStart w:id="52" w:name="X772d1ec756787e60524df1e8498c01849519e8e"/>
    <w:p>
      <w:pPr>
        <w:pStyle w:val="Heading2"/>
      </w:pPr>
      <w:r>
        <w:t xml:space="preserve">Part 7 — Feature Specification: Alert System</w:t>
      </w:r>
    </w:p>
    <w:bookmarkStart w:id="47" w:name="alert-triggers"/>
    <w:p>
      <w:pPr>
        <w:pStyle w:val="Heading3"/>
      </w:pPr>
      <w:r>
        <w:t xml:space="preserve">7.1 Alert Triggers</w:t>
      </w:r>
    </w:p>
    <w:p>
      <w:pPr>
        <w:pStyle w:val="FirstParagraph"/>
      </w:pPr>
      <w:r>
        <w:t xml:space="preserve">The system sends email alerts under the following conditions: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w:t>
            </w:r>
          </w:p>
        </w:tc>
        <w:tc>
          <w:tcPr/>
          <w:p>
            <w:pPr>
              <w:pStyle w:val="Compact"/>
              <w:jc w:val="left"/>
            </w:pPr>
            <w:r>
              <w:t xml:space="preserve">Who Gets Alerted</w:t>
            </w:r>
          </w:p>
        </w:tc>
        <w:tc>
          <w:tcPr/>
          <w:p>
            <w:pPr>
              <w:pStyle w:val="Compact"/>
              <w:jc w:val="left"/>
            </w:pPr>
            <w:r>
              <w:t xml:space="preserve">Timing</w:t>
            </w:r>
          </w:p>
        </w:tc>
      </w:tr>
      <w:tr>
        <w:tc>
          <w:tcPr/>
          <w:p>
            <w:pPr>
              <w:pStyle w:val="Compact"/>
              <w:jc w:val="left"/>
            </w:pPr>
            <w:r>
              <w:t xml:space="preserve">Ratio enters WARNING status</w:t>
            </w:r>
          </w:p>
        </w:tc>
        <w:tc>
          <w:tcPr/>
          <w:p>
            <w:pPr>
              <w:pStyle w:val="Compact"/>
              <w:jc w:val="left"/>
            </w:pPr>
            <w:r>
              <w:t xml:space="preserve">CFO + Operating Partner</w:t>
            </w:r>
          </w:p>
        </w:tc>
        <w:tc>
          <w:tcPr/>
          <w:p>
            <w:pPr>
              <w:pStyle w:val="Compact"/>
              <w:jc w:val="left"/>
            </w:pPr>
            <w:r>
              <w:t xml:space="preserve">Immediately after nightly sync</w:t>
            </w:r>
          </w:p>
        </w:tc>
      </w:tr>
      <w:tr>
        <w:tc>
          <w:tcPr/>
          <w:p>
            <w:pPr>
              <w:pStyle w:val="Compact"/>
              <w:jc w:val="left"/>
            </w:pPr>
            <w:r>
              <w:t xml:space="preserve">Ratio enters BREACH status</w:t>
            </w:r>
          </w:p>
        </w:tc>
        <w:tc>
          <w:tcPr/>
          <w:p>
            <w:pPr>
              <w:pStyle w:val="Compact"/>
              <w:jc w:val="left"/>
            </w:pPr>
            <w:r>
              <w:t xml:space="preserve">CFO + Operating Partner</w:t>
            </w:r>
          </w:p>
        </w:tc>
        <w:tc>
          <w:tcPr/>
          <w:p>
            <w:pPr>
              <w:pStyle w:val="Compact"/>
              <w:jc w:val="left"/>
            </w:pPr>
            <w:r>
              <w:t xml:space="preserve">Immediately, plus daily reminders</w:t>
            </w:r>
          </w:p>
        </w:tc>
      </w:tr>
      <w:tr>
        <w:tc>
          <w:tcPr/>
          <w:p>
            <w:pPr>
              <w:pStyle w:val="Compact"/>
              <w:jc w:val="left"/>
            </w:pPr>
            <w:r>
              <w:t xml:space="preserve">Forecast projects breach within 90 days</w:t>
            </w:r>
          </w:p>
        </w:tc>
        <w:tc>
          <w:tcPr/>
          <w:p>
            <w:pPr>
              <w:pStyle w:val="Compact"/>
              <w:jc w:val="left"/>
            </w:pPr>
            <w:r>
              <w:t xml:space="preserve">CFO + Operating Partner</w:t>
            </w:r>
          </w:p>
        </w:tc>
        <w:tc>
          <w:tcPr/>
          <w:p>
            <w:pPr>
              <w:pStyle w:val="Compact"/>
              <w:jc w:val="left"/>
            </w:pPr>
            <w:r>
              <w:t xml:space="preserve">Immediately after forecast update</w:t>
            </w:r>
          </w:p>
        </w:tc>
      </w:tr>
      <w:tr>
        <w:tc>
          <w:tcPr/>
          <w:p>
            <w:pPr>
              <w:pStyle w:val="Compact"/>
              <w:jc w:val="left"/>
            </w:pPr>
            <w:r>
              <w:t xml:space="preserve">Forecast projects breach within 30 days</w:t>
            </w:r>
          </w:p>
        </w:tc>
        <w:tc>
          <w:tcPr/>
          <w:p>
            <w:pPr>
              <w:pStyle w:val="Compact"/>
              <w:jc w:val="left"/>
            </w:pPr>
            <w:r>
              <w:t xml:space="preserve">CFO + Operating Partner + GP/LP contacts</w:t>
            </w:r>
          </w:p>
        </w:tc>
        <w:tc>
          <w:tcPr/>
          <w:p>
            <w:pPr>
              <w:pStyle w:val="Compact"/>
              <w:jc w:val="left"/>
            </w:pPr>
            <w:r>
              <w:t xml:space="preserve">Immediately, high-priority</w:t>
            </w:r>
          </w:p>
        </w:tc>
      </w:tr>
      <w:tr>
        <w:tc>
          <w:tcPr/>
          <w:p>
            <w:pPr>
              <w:pStyle w:val="Compact"/>
              <w:jc w:val="left"/>
            </w:pPr>
            <w:r>
              <w:t xml:space="preserve">QuickBooks sync fails</w:t>
            </w:r>
          </w:p>
        </w:tc>
        <w:tc>
          <w:tcPr/>
          <w:p>
            <w:pPr>
              <w:pStyle w:val="Compact"/>
              <w:jc w:val="left"/>
            </w:pPr>
            <w:r>
              <w:t xml:space="preserve">System admin email</w:t>
            </w:r>
          </w:p>
        </w:tc>
        <w:tc>
          <w:tcPr/>
          <w:p>
            <w:pPr>
              <w:pStyle w:val="Compact"/>
              <w:jc w:val="left"/>
            </w:pPr>
            <w:r>
              <w:t xml:space="preserve">Immediately</w:t>
            </w:r>
          </w:p>
        </w:tc>
      </w:tr>
    </w:tbl>
    <w:bookmarkEnd w:id="47"/>
    <w:bookmarkStart w:id="48" w:name="alert-email-content"/>
    <w:p>
      <w:pPr>
        <w:pStyle w:val="Heading3"/>
      </w:pPr>
      <w:r>
        <w:t xml:space="preserve">7.2 Alert Email Content</w:t>
      </w:r>
    </w:p>
    <w:p>
      <w:pPr>
        <w:pStyle w:val="FirstParagraph"/>
      </w:pPr>
      <w:r>
        <w:t xml:space="preserve">Each alert email contains:</w:t>
      </w:r>
    </w:p>
    <w:p>
      <w:pPr>
        <w:numPr>
          <w:ilvl w:val="0"/>
          <w:numId w:val="1004"/>
        </w:numPr>
        <w:pStyle w:val="Compact"/>
      </w:pPr>
      <w:r>
        <w:t xml:space="preserve">Subject line that clearly states the company name and alert type (e.g.,</w:t>
      </w:r>
      <w:r>
        <w:t xml:space="preserve"> </w:t>
      </w:r>
      <w:r>
        <w:t xml:space="preserve">“</w:t>
      </w:r>
      <w:r>
        <w:t xml:space="preserve">⚠️ WARNING — Acme Industries: Leverage Ratio at 95% of Threshold</w:t>
      </w:r>
      <w:r>
        <w:t xml:space="preserve">”</w:t>
      </w:r>
      <w:r>
        <w:t xml:space="preserve">)</w:t>
      </w:r>
    </w:p>
    <w:p>
      <w:pPr>
        <w:numPr>
          <w:ilvl w:val="0"/>
          <w:numId w:val="1004"/>
        </w:numPr>
        <w:pStyle w:val="Compact"/>
      </w:pPr>
      <w:r>
        <w:t xml:space="preserve">Current ratio value vs. threshold (e.g.,</w:t>
      </w:r>
      <w:r>
        <w:t xml:space="preserve"> </w:t>
      </w:r>
      <w:r>
        <w:t xml:space="preserve">“</w:t>
      </w:r>
      <w:r>
        <w:t xml:space="preserve">3.8x vs. 4.0x maximum</w:t>
      </w:r>
      <w:r>
        <w:t xml:space="preserve">”</w:t>
      </w:r>
      <w:r>
        <w:t xml:space="preserve">)</w:t>
      </w:r>
    </w:p>
    <w:p>
      <w:pPr>
        <w:numPr>
          <w:ilvl w:val="0"/>
          <w:numId w:val="1004"/>
        </w:numPr>
        <w:pStyle w:val="Compact"/>
      </w:pPr>
      <w:r>
        <w:t xml:space="preserve">Headroom percentage (</w:t>
      </w:r>
      <w:r>
        <w:t xml:space="preserve">“</w:t>
      </w:r>
      <w:r>
        <w:t xml:space="preserve">5% headroom remaining</w:t>
      </w:r>
      <w:r>
        <w:t xml:space="preserve">”</w:t>
      </w:r>
      <w:r>
        <w:t xml:space="preserve">)</w:t>
      </w:r>
    </w:p>
    <w:p>
      <w:pPr>
        <w:numPr>
          <w:ilvl w:val="0"/>
          <w:numId w:val="1004"/>
        </w:numPr>
        <w:pStyle w:val="Compact"/>
      </w:pPr>
      <w:r>
        <w:t xml:space="preserve">If a forecast alert:</w:t>
      </w:r>
      <w:r>
        <w:t xml:space="preserve"> </w:t>
      </w:r>
      <w:r>
        <w:t xml:space="preserve">“</w:t>
      </w:r>
      <w:r>
        <w:t xml:space="preserve">Projected breach in approximately 47 days based on current trend</w:t>
      </w:r>
      <w:r>
        <w:t xml:space="preserve">”</w:t>
      </w:r>
    </w:p>
    <w:p>
      <w:pPr>
        <w:numPr>
          <w:ilvl w:val="0"/>
          <w:numId w:val="1004"/>
        </w:numPr>
        <w:pStyle w:val="Compact"/>
      </w:pPr>
      <w:r>
        <w:t xml:space="preserve">A summary table of ALL covenants and their current status</w:t>
      </w:r>
    </w:p>
    <w:p>
      <w:pPr>
        <w:numPr>
          <w:ilvl w:val="0"/>
          <w:numId w:val="1004"/>
        </w:numPr>
        <w:pStyle w:val="Compact"/>
      </w:pPr>
      <w:r>
        <w:t xml:space="preserve">A direct link to the dashboard</w:t>
      </w:r>
    </w:p>
    <w:p>
      <w:pPr>
        <w:numPr>
          <w:ilvl w:val="0"/>
          <w:numId w:val="1004"/>
        </w:numPr>
        <w:pStyle w:val="Compact"/>
      </w:pPr>
      <w:r>
        <w:t xml:space="preserve">A one-click button to generate a compliance letter</w:t>
      </w:r>
    </w:p>
    <w:p>
      <w:pPr>
        <w:numPr>
          <w:ilvl w:val="0"/>
          <w:numId w:val="1004"/>
        </w:numPr>
        <w:pStyle w:val="Compact"/>
      </w:pPr>
      <w:r>
        <w:t xml:space="preserve">Recommended actions based on the alert type</w:t>
      </w:r>
    </w:p>
    <w:bookmarkEnd w:id="48"/>
    <w:bookmarkStart w:id="49" w:name="alert-deduplication"/>
    <w:p>
      <w:pPr>
        <w:pStyle w:val="Heading3"/>
      </w:pPr>
      <w:r>
        <w:t xml:space="preserve">7.3 Alert Deduplication</w:t>
      </w:r>
    </w:p>
    <w:p>
      <w:pPr>
        <w:pStyle w:val="FirstParagraph"/>
      </w:pPr>
      <w:r>
        <w:t xml:space="preserve">The system does not send the same alert twice in the same 24-hour period. If a company has been in WARNING status for 5 days, only one alert per day is sent — not 5 alerts per sync run.</w:t>
      </w:r>
    </w:p>
    <w:bookmarkEnd w:id="49"/>
    <w:bookmarkStart w:id="50" w:name="alert-escalation"/>
    <w:p>
      <w:pPr>
        <w:pStyle w:val="Heading3"/>
      </w:pPr>
      <w:r>
        <w:t xml:space="preserve">7.4 Alert Escalation</w:t>
      </w:r>
    </w:p>
    <w:p>
      <w:pPr>
        <w:pStyle w:val="FirstParagraph"/>
      </w:pPr>
      <w:r>
        <w:t xml:space="preserve">If a covenant enters BREACH status and remains in breach for more than 3 days without acknowledgment, the system escalates by adding the GP/LP contact email to subsequent alerts.</w:t>
      </w:r>
    </w:p>
    <w:bookmarkEnd w:id="50"/>
    <w:bookmarkStart w:id="51" w:name="alert-history-log"/>
    <w:p>
      <w:pPr>
        <w:pStyle w:val="Heading3"/>
      </w:pPr>
      <w:r>
        <w:t xml:space="preserve">7.5 Alert History Log</w:t>
      </w:r>
    </w:p>
    <w:p>
      <w:pPr>
        <w:pStyle w:val="FirstParagraph"/>
      </w:pPr>
      <w:r>
        <w:t xml:space="preserve">The dashboard displays a full history of all alerts sent, including: date sent, covenant affected, status at time of alert, ratio value, and whether the alert was acknowledged.</w:t>
      </w:r>
    </w:p>
    <w:p>
      <w:r>
        <w:pict>
          <v:rect style="width:0;height:1.5pt" o:hralign="center" o:hrstd="t" o:hr="t"/>
        </w:pict>
      </w:r>
    </w:p>
    <w:bookmarkEnd w:id="51"/>
    <w:bookmarkEnd w:id="52"/>
    <w:bookmarkStart w:id="56" w:name="X1216e6c076151026a77f60d74ccc8f43ed70977"/>
    <w:p>
      <w:pPr>
        <w:pStyle w:val="Heading2"/>
      </w:pPr>
      <w:r>
        <w:t xml:space="preserve">Part 8 — Feature Specification: CFO Dashboard</w:t>
      </w:r>
    </w:p>
    <w:bookmarkStart w:id="53" w:name="dashboard-layout"/>
    <w:p>
      <w:pPr>
        <w:pStyle w:val="Heading3"/>
      </w:pPr>
      <w:r>
        <w:t xml:space="preserve">8.1 Dashboard Layout</w:t>
      </w:r>
    </w:p>
    <w:p>
      <w:pPr>
        <w:pStyle w:val="FirstParagraph"/>
      </w:pPr>
      <w:r>
        <w:t xml:space="preserve">The dashboard is a single web page with five sections arranged vertically:</w:t>
      </w:r>
    </w:p>
    <w:p>
      <w:pPr>
        <w:pStyle w:val="BodyText"/>
      </w:pPr>
      <w:r>
        <w:rPr>
          <w:bCs/>
          <w:b/>
        </w:rPr>
        <w:t xml:space="preserve">Section 1 — Header Bar</w:t>
      </w:r>
      <w:r>
        <w:t xml:space="preserve"> </w:t>
      </w:r>
      <w:r>
        <w:t xml:space="preserve">Company name, QuickBooks connection status (green dot = connected), last sync timestamp, and a</w:t>
      </w:r>
      <w:r>
        <w:t xml:space="preserve"> </w:t>
      </w:r>
      <w:r>
        <w:t xml:space="preserve">“</w:t>
      </w:r>
      <w:r>
        <w:t xml:space="preserve">Sync Now</w:t>
      </w:r>
      <w:r>
        <w:t xml:space="preserve">”</w:t>
      </w:r>
      <w:r>
        <w:t xml:space="preserve"> </w:t>
      </w:r>
      <w:r>
        <w:t xml:space="preserve">button.</w:t>
      </w:r>
    </w:p>
    <w:p>
      <w:pPr>
        <w:pStyle w:val="BodyText"/>
      </w:pPr>
      <w:r>
        <w:rPr>
          <w:bCs/>
          <w:b/>
        </w:rPr>
        <w:t xml:space="preserve">Section 2 — Covenant Gauge Cards</w:t>
      </w:r>
      <w:r>
        <w:t xml:space="preserve"> </w:t>
      </w:r>
      <w:r>
        <w:t xml:space="preserve">One card per active covenant, displayed in a horizontal row. Each card shows:</w:t>
      </w:r>
      <w:r>
        <w:t xml:space="preserve"> </w:t>
      </w:r>
      <w:r>
        <w:t xml:space="preserve">- Covenant name</w:t>
      </w:r>
      <w:r>
        <w:t xml:space="preserve"> </w:t>
      </w:r>
      <w:r>
        <w:t xml:space="preserve">- Current ratio value (large, prominent number)</w:t>
      </w:r>
      <w:r>
        <w:t xml:space="preserve"> </w:t>
      </w:r>
      <w:r>
        <w:t xml:space="preserve">- Threshold with direction indicator (e.g.,</w:t>
      </w:r>
      <w:r>
        <w:t xml:space="preserve"> </w:t>
      </w:r>
      <w:r>
        <w:t xml:space="preserve">“</w:t>
      </w:r>
      <w:r>
        <w:t xml:space="preserve">≤ 4.0x maximum</w:t>
      </w:r>
      <w:r>
        <w:t xml:space="preserve">”</w:t>
      </w:r>
      <w:r>
        <w:t xml:space="preserve">)</w:t>
      </w:r>
      <w:r>
        <w:t xml:space="preserve"> </w:t>
      </w:r>
      <w:r>
        <w:t xml:space="preserve">- Status badge (green PASS / yellow WARNING / red BREACH)</w:t>
      </w:r>
      <w:r>
        <w:t xml:space="preserve"> </w:t>
      </w:r>
      <w:r>
        <w:t xml:space="preserve">- Headroom percentage</w:t>
      </w:r>
      <w:r>
        <w:t xml:space="preserve"> </w:t>
      </w:r>
      <w:r>
        <w:t xml:space="preserve">- Card background color matches status (light green / light yellow / light red)</w:t>
      </w:r>
    </w:p>
    <w:p>
      <w:pPr>
        <w:pStyle w:val="BodyText"/>
      </w:pPr>
      <w:r>
        <w:rPr>
          <w:bCs/>
          <w:b/>
        </w:rPr>
        <w:t xml:space="preserve">Section 3 — 90-Day Forecast Chart</w:t>
      </w:r>
      <w:r>
        <w:t xml:space="preserve"> </w:t>
      </w:r>
      <w:r>
        <w:t xml:space="preserve">A line chart showing:</w:t>
      </w:r>
      <w:r>
        <w:t xml:space="preserve"> </w:t>
      </w:r>
      <w:r>
        <w:t xml:space="preserve">- Historical ratio values for the last 12 months (solid blue line)</w:t>
      </w:r>
      <w:r>
        <w:t xml:space="preserve"> </w:t>
      </w:r>
      <w:r>
        <w:t xml:space="preserve">- Projected ratio values for the next 90 days (dashed purple line)</w:t>
      </w:r>
      <w:r>
        <w:t xml:space="preserve"> </w:t>
      </w:r>
      <w:r>
        <w:t xml:space="preserve">- A horizontal red dashed line at the threshold level</w:t>
      </w:r>
      <w:r>
        <w:t xml:space="preserve"> </w:t>
      </w:r>
      <w:r>
        <w:t xml:space="preserve">- A shaded red zone above (for maximum covenants) or below (for minimum covenants) the threshold</w:t>
      </w:r>
      <w:r>
        <w:t xml:space="preserve"> </w:t>
      </w:r>
      <w:r>
        <w:t xml:space="preserve">- The x-axis shows months; the y-axis shows the ratio value</w:t>
      </w:r>
      <w:r>
        <w:t xml:space="preserve"> </w:t>
      </w:r>
      <w:r>
        <w:t xml:space="preserve">- A tooltip on hover showing the exact value and date</w:t>
      </w:r>
      <w:r>
        <w:t xml:space="preserve"> </w:t>
      </w:r>
      <w:r>
        <w:t xml:space="preserve">- The user can switch between covenants using a dropdown selector</w:t>
      </w:r>
    </w:p>
    <w:p>
      <w:pPr>
        <w:pStyle w:val="BodyText"/>
      </w:pPr>
      <w:r>
        <w:rPr>
          <w:bCs/>
          <w:b/>
        </w:rPr>
        <w:t xml:space="preserve">Section 4 — Alert History</w:t>
      </w:r>
      <w:r>
        <w:t xml:space="preserve"> </w:t>
      </w:r>
      <w:r>
        <w:t xml:space="preserve">A chronological list of the last 20 alerts, showing: date, covenant name, status at alert time, ratio value, and a</w:t>
      </w:r>
      <w:r>
        <w:t xml:space="preserve"> </w:t>
      </w:r>
      <w:r>
        <w:t xml:space="preserve">“</w:t>
      </w:r>
      <w:r>
        <w:t xml:space="preserve">Resolved / Acknowledged</w:t>
      </w:r>
      <w:r>
        <w:t xml:space="preserve">”</w:t>
      </w:r>
      <w:r>
        <w:t xml:space="preserve"> </w:t>
      </w:r>
      <w:r>
        <w:t xml:space="preserve">toggle. The most recent alert is at the top.</w:t>
      </w:r>
    </w:p>
    <w:p>
      <w:pPr>
        <w:pStyle w:val="BodyText"/>
      </w:pPr>
      <w:r>
        <w:rPr>
          <w:bCs/>
          <w:b/>
        </w:rPr>
        <w:t xml:space="preserve">Section 5 — Actions Panel</w:t>
      </w:r>
      <w:r>
        <w:t xml:space="preserve"> </w:t>
      </w:r>
      <w:r>
        <w:t xml:space="preserve">Three action buttons:</w:t>
      </w:r>
      <w:r>
        <w:t xml:space="preserve"> </w:t>
      </w:r>
      <w:r>
        <w:t xml:space="preserve">-</w:t>
      </w:r>
      <w:r>
        <w:t xml:space="preserve"> </w:t>
      </w:r>
      <w:r>
        <w:t xml:space="preserve">“</w:t>
      </w:r>
      <w:r>
        <w:t xml:space="preserve">Generate Compliance Letter</w:t>
      </w:r>
      <w:r>
        <w:t xml:space="preserve">”</w:t>
      </w:r>
      <w:r>
        <w:t xml:space="preserve"> </w:t>
      </w:r>
      <w:r>
        <w:t xml:space="preserve">— triggers the AI letter generator (see Part 9)</w:t>
      </w:r>
      <w:r>
        <w:t xml:space="preserve"> </w:t>
      </w:r>
      <w:r>
        <w:t xml:space="preserve">-</w:t>
      </w:r>
      <w:r>
        <w:t xml:space="preserve"> </w:t>
      </w:r>
      <w:r>
        <w:t xml:space="preserve">“</w:t>
      </w:r>
      <w:r>
        <w:t xml:space="preserve">Upload New Loan Agreement</w:t>
      </w:r>
      <w:r>
        <w:t xml:space="preserve">”</w:t>
      </w:r>
      <w:r>
        <w:t xml:space="preserve"> </w:t>
      </w:r>
      <w:r>
        <w:t xml:space="preserve">— opens the PDF upload flow</w:t>
      </w:r>
      <w:r>
        <w:t xml:space="preserve"> </w:t>
      </w:r>
      <w:r>
        <w:t xml:space="preserve">-</w:t>
      </w:r>
      <w:r>
        <w:t xml:space="preserve"> </w:t>
      </w:r>
      <w:r>
        <w:t xml:space="preserve">“</w:t>
      </w:r>
      <w:r>
        <w:t xml:space="preserve">Download Covenant Report</w:t>
      </w:r>
      <w:r>
        <w:t xml:space="preserve">”</w:t>
      </w:r>
      <w:r>
        <w:t xml:space="preserve"> </w:t>
      </w:r>
      <w:r>
        <w:t xml:space="preserve">— exports a one-page PDF summary of current status</w:t>
      </w:r>
    </w:p>
    <w:bookmarkEnd w:id="53"/>
    <w:bookmarkStart w:id="54" w:name="dashboard-states"/>
    <w:p>
      <w:pPr>
        <w:pStyle w:val="Heading3"/>
      </w:pPr>
      <w:r>
        <w:t xml:space="preserve">8.2 Dashboard States</w:t>
      </w:r>
    </w:p>
    <w:p>
      <w:pPr>
        <w:pStyle w:val="FirstParagraph"/>
      </w:pPr>
      <w:r>
        <w:t xml:space="preserve">The dashboard handles four states gracefully:</w:t>
      </w:r>
    </w:p>
    <w:p>
      <w:pPr>
        <w:numPr>
          <w:ilvl w:val="0"/>
          <w:numId w:val="1005"/>
        </w:numPr>
        <w:pStyle w:val="Compact"/>
      </w:pPr>
      <w:r>
        <w:rPr>
          <w:bCs/>
          <w:b/>
        </w:rPr>
        <w:t xml:space="preserve">Not connected:</w:t>
      </w:r>
      <w:r>
        <w:t xml:space="preserve"> </w:t>
      </w:r>
      <w:r>
        <w:t xml:space="preserve">Shows</w:t>
      </w:r>
      <w:r>
        <w:t xml:space="preserve"> </w:t>
      </w:r>
      <w:r>
        <w:t xml:space="preserve">“</w:t>
      </w:r>
      <w:r>
        <w:t xml:space="preserve">Connect QuickBooks</w:t>
      </w:r>
      <w:r>
        <w:t xml:space="preserve">”</w:t>
      </w:r>
      <w:r>
        <w:t xml:space="preserve"> </w:t>
      </w:r>
      <w:r>
        <w:t xml:space="preserve">prompt and upload loan agreement prompt. No ratio data shown.</w:t>
      </w:r>
    </w:p>
    <w:p>
      <w:pPr>
        <w:numPr>
          <w:ilvl w:val="0"/>
          <w:numId w:val="1005"/>
        </w:numPr>
        <w:pStyle w:val="Compact"/>
      </w:pPr>
      <w:r>
        <w:rPr>
          <w:bCs/>
          <w:b/>
        </w:rPr>
        <w:t xml:space="preserve">Connected, no loan PDF:</w:t>
      </w:r>
      <w:r>
        <w:t xml:space="preserve"> </w:t>
      </w:r>
      <w:r>
        <w:t xml:space="preserve">Shows QuickBooks data but displays a banner:</w:t>
      </w:r>
      <w:r>
        <w:t xml:space="preserve"> </w:t>
      </w:r>
      <w:r>
        <w:t xml:space="preserve">“</w:t>
      </w:r>
      <w:r>
        <w:t xml:space="preserve">Upload your loan agreement to begin monitoring.</w:t>
      </w:r>
      <w:r>
        <w:t xml:space="preserve">”</w:t>
      </w:r>
    </w:p>
    <w:p>
      <w:pPr>
        <w:numPr>
          <w:ilvl w:val="0"/>
          <w:numId w:val="1005"/>
        </w:numPr>
        <w:pStyle w:val="Compact"/>
      </w:pPr>
      <w:r>
        <w:rPr>
          <w:bCs/>
          <w:b/>
        </w:rPr>
        <w:t xml:space="preserve">Connected, active monitoring:</w:t>
      </w:r>
      <w:r>
        <w:t xml:space="preserve"> </w:t>
      </w:r>
      <w:r>
        <w:t xml:space="preserve">Full dashboard with all panels populated.</w:t>
      </w:r>
    </w:p>
    <w:p>
      <w:pPr>
        <w:numPr>
          <w:ilvl w:val="0"/>
          <w:numId w:val="1005"/>
        </w:numPr>
        <w:pStyle w:val="Compact"/>
      </w:pPr>
      <w:r>
        <w:rPr>
          <w:bCs/>
          <w:b/>
        </w:rPr>
        <w:t xml:space="preserve">Breach detected:</w:t>
      </w:r>
      <w:r>
        <w:t xml:space="preserve"> </w:t>
      </w:r>
      <w:r>
        <w:t xml:space="preserve">A full-width red banner at the top of every page:</w:t>
      </w:r>
      <w:r>
        <w:t xml:space="preserve"> </w:t>
      </w:r>
      <w:r>
        <w:t xml:space="preserve">“</w:t>
      </w:r>
      <w:r>
        <w:t xml:space="preserve">COVENANT BREACH DETECTED — [Covenant Name]. Immediate action required.</w:t>
      </w:r>
      <w:r>
        <w:t xml:space="preserve">”</w:t>
      </w:r>
      <w:r>
        <w:t xml:space="preserve"> </w:t>
      </w:r>
      <w:r>
        <w:t xml:space="preserve">This banner persists until the breach is resolved.</w:t>
      </w:r>
    </w:p>
    <w:bookmarkEnd w:id="54"/>
    <w:bookmarkStart w:id="55" w:name="multi-company-view-pe-firm-level"/>
    <w:p>
      <w:pPr>
        <w:pStyle w:val="Heading3"/>
      </w:pPr>
      <w:r>
        <w:t xml:space="preserve">8.3 Multi-Company View (PE Firm Level)</w:t>
      </w:r>
    </w:p>
    <w:p>
      <w:pPr>
        <w:pStyle w:val="FirstParagraph"/>
      </w:pPr>
      <w:r>
        <w:t xml:space="preserve">For PE firm users (as opposed to individual portfolio company CFOs), the dashboard shows a portfolio overview:</w:t>
      </w:r>
    </w:p>
    <w:p>
      <w:pPr>
        <w:numPr>
          <w:ilvl w:val="0"/>
          <w:numId w:val="1006"/>
        </w:numPr>
        <w:pStyle w:val="Compact"/>
      </w:pPr>
      <w:r>
        <w:t xml:space="preserve">A table listing all portfolio companies with their current worst-case status (PASS / WARNING / BREACH)</w:t>
      </w:r>
    </w:p>
    <w:p>
      <w:pPr>
        <w:numPr>
          <w:ilvl w:val="0"/>
          <w:numId w:val="1006"/>
        </w:numPr>
        <w:pStyle w:val="Compact"/>
      </w:pPr>
      <w:r>
        <w:t xml:space="preserve">Total number of covenants across the portfolio</w:t>
      </w:r>
    </w:p>
    <w:p>
      <w:pPr>
        <w:numPr>
          <w:ilvl w:val="0"/>
          <w:numId w:val="1006"/>
        </w:numPr>
        <w:pStyle w:val="Compact"/>
      </w:pPr>
      <w:r>
        <w:t xml:space="preserve">Number of companies in WARNING or BREACH status</w:t>
      </w:r>
    </w:p>
    <w:p>
      <w:pPr>
        <w:numPr>
          <w:ilvl w:val="0"/>
          <w:numId w:val="1006"/>
        </w:numPr>
        <w:pStyle w:val="Compact"/>
      </w:pPr>
      <w:r>
        <w:t xml:space="preserve">Clicking any company row navigates to that company’s full individual dashboard</w:t>
      </w:r>
    </w:p>
    <w:p>
      <w:r>
        <w:pict>
          <v:rect style="width:0;height:1.5pt" o:hralign="center" o:hrstd="t" o:hr="t"/>
        </w:pict>
      </w:r>
    </w:p>
    <w:bookmarkEnd w:id="55"/>
    <w:bookmarkEnd w:id="56"/>
    <w:bookmarkStart w:id="60" w:name="X0d4943e64e774e3ac8ab098a281a3f1b817ca82"/>
    <w:p>
      <w:pPr>
        <w:pStyle w:val="Heading2"/>
      </w:pPr>
      <w:r>
        <w:t xml:space="preserve">Part 9 — Feature Specification: Compliance Letter Generator (AI)</w:t>
      </w:r>
    </w:p>
    <w:bookmarkStart w:id="57" w:name="what-it-produces"/>
    <w:p>
      <w:pPr>
        <w:pStyle w:val="Heading3"/>
      </w:pPr>
      <w:r>
        <w:t xml:space="preserve">9.1 What It Produces</w:t>
      </w:r>
    </w:p>
    <w:p>
      <w:pPr>
        <w:pStyle w:val="FirstParagraph"/>
      </w:pPr>
      <w:r>
        <w:t xml:space="preserve">When the CFO clicks</w:t>
      </w:r>
      <w:r>
        <w:t xml:space="preserve"> </w:t>
      </w:r>
      <w:r>
        <w:t xml:space="preserve">“</w:t>
      </w:r>
      <w:r>
        <w:t xml:space="preserve">Generate Compliance Letter,</w:t>
      </w:r>
      <w:r>
        <w:t xml:space="preserve">”</w:t>
      </w:r>
      <w:r>
        <w:t xml:space="preserve"> </w:t>
      </w:r>
      <w:r>
        <w:t xml:space="preserve">the AI writes a formal one-page letter addressed to the lender. The letter is written in the voice of the company’s CFO and includes:</w:t>
      </w:r>
    </w:p>
    <w:p>
      <w:pPr>
        <w:numPr>
          <w:ilvl w:val="0"/>
          <w:numId w:val="1007"/>
        </w:numPr>
        <w:pStyle w:val="Compact"/>
      </w:pPr>
      <w:r>
        <w:t xml:space="preserve">The date and addressee (lender name and contact, pre-filled from setup)</w:t>
      </w:r>
    </w:p>
    <w:p>
      <w:pPr>
        <w:numPr>
          <w:ilvl w:val="0"/>
          <w:numId w:val="1007"/>
        </w:numPr>
        <w:pStyle w:val="Compact"/>
      </w:pPr>
      <w:r>
        <w:t xml:space="preserve">A statement of the company’s current covenant status</w:t>
      </w:r>
    </w:p>
    <w:p>
      <w:pPr>
        <w:numPr>
          <w:ilvl w:val="0"/>
          <w:numId w:val="1007"/>
        </w:numPr>
        <w:pStyle w:val="Compact"/>
      </w:pPr>
      <w:r>
        <w:t xml:space="preserve">A table showing all covenant ratios: covenant name, current value, threshold, and status</w:t>
      </w:r>
    </w:p>
    <w:p>
      <w:pPr>
        <w:numPr>
          <w:ilvl w:val="0"/>
          <w:numId w:val="1007"/>
        </w:numPr>
        <w:pStyle w:val="Compact"/>
      </w:pPr>
      <w:r>
        <w:t xml:space="preserve">If WARNING status: a statement of the trend, the steps management is taking to improve the ratio, and a request for a scheduled call with the lender</w:t>
      </w:r>
    </w:p>
    <w:p>
      <w:pPr>
        <w:numPr>
          <w:ilvl w:val="0"/>
          <w:numId w:val="1007"/>
        </w:numPr>
        <w:pStyle w:val="Compact"/>
      </w:pPr>
      <w:r>
        <w:t xml:space="preserve">If BREACH status: a formal notification of the technical default, an explanation of the circumstances, a request for a waiver or forbearance agreement, and a proposed timeline for remediation</w:t>
      </w:r>
    </w:p>
    <w:p>
      <w:pPr>
        <w:numPr>
          <w:ilvl w:val="0"/>
          <w:numId w:val="1007"/>
        </w:numPr>
        <w:pStyle w:val="Compact"/>
      </w:pPr>
      <w:r>
        <w:t xml:space="preserve">A closing with the CFO’s name and title</w:t>
      </w:r>
    </w:p>
    <w:bookmarkEnd w:id="57"/>
    <w:bookmarkStart w:id="58" w:name="letter-generation-flow"/>
    <w:p>
      <w:pPr>
        <w:pStyle w:val="Heading3"/>
      </w:pPr>
      <w:r>
        <w:t xml:space="preserve">9.2 Letter Generation Flow</w:t>
      </w:r>
    </w:p>
    <w:p>
      <w:pPr>
        <w:numPr>
          <w:ilvl w:val="0"/>
          <w:numId w:val="1008"/>
        </w:numPr>
        <w:pStyle w:val="Compact"/>
      </w:pPr>
      <w:r>
        <w:t xml:space="preserve">CFO clicks</w:t>
      </w:r>
      <w:r>
        <w:t xml:space="preserve"> </w:t>
      </w:r>
      <w:r>
        <w:t xml:space="preserve">“</w:t>
      </w:r>
      <w:r>
        <w:t xml:space="preserve">Generate Compliance Letter</w:t>
      </w:r>
      <w:r>
        <w:t xml:space="preserve">”</w:t>
      </w:r>
    </w:p>
    <w:p>
      <w:pPr>
        <w:numPr>
          <w:ilvl w:val="0"/>
          <w:numId w:val="1008"/>
        </w:numPr>
        <w:pStyle w:val="Compact"/>
      </w:pPr>
      <w:r>
        <w:t xml:space="preserve">A modal appears asking:</w:t>
      </w:r>
      <w:r>
        <w:t xml:space="preserve"> </w:t>
      </w:r>
      <w:r>
        <w:t xml:space="preserve">“</w:t>
      </w:r>
      <w:r>
        <w:t xml:space="preserve">Who is this letter addressed to?</w:t>
      </w:r>
      <w:r>
        <w:t xml:space="preserve">”</w:t>
      </w:r>
      <w:r>
        <w:t xml:space="preserve"> </w:t>
      </w:r>
      <w:r>
        <w:t xml:space="preserve">with a text field for the lender contact name</w:t>
      </w:r>
    </w:p>
    <w:p>
      <w:pPr>
        <w:numPr>
          <w:ilvl w:val="0"/>
          <w:numId w:val="1008"/>
        </w:numPr>
        <w:pStyle w:val="Compact"/>
      </w:pPr>
      <w:r>
        <w:t xml:space="preserve">CFO clicks</w:t>
      </w:r>
      <w:r>
        <w:t xml:space="preserve"> </w:t>
      </w:r>
      <w:r>
        <w:t xml:space="preserve">“</w:t>
      </w:r>
      <w:r>
        <w:t xml:space="preserve">Generate</w:t>
      </w:r>
      <w:r>
        <w:t xml:space="preserve">”</w:t>
      </w:r>
      <w:r>
        <w:t xml:space="preserve"> </w:t>
      </w:r>
      <w:r>
        <w:t xml:space="preserve">— the letter is produced in approximately 10 seconds</w:t>
      </w:r>
    </w:p>
    <w:p>
      <w:pPr>
        <w:numPr>
          <w:ilvl w:val="0"/>
          <w:numId w:val="1008"/>
        </w:numPr>
        <w:pStyle w:val="Compact"/>
      </w:pPr>
      <w:r>
        <w:t xml:space="preserve">The letter appears in a text editor on screen (the CFO can edit it before sending)</w:t>
      </w:r>
    </w:p>
    <w:p>
      <w:pPr>
        <w:numPr>
          <w:ilvl w:val="0"/>
          <w:numId w:val="1008"/>
        </w:numPr>
        <w:pStyle w:val="Compact"/>
      </w:pPr>
      <w:r>
        <w:t xml:space="preserve">Download as Word document (.docx) or copy to clipboard options are available</w:t>
      </w:r>
    </w:p>
    <w:p>
      <w:pPr>
        <w:numPr>
          <w:ilvl w:val="0"/>
          <w:numId w:val="1008"/>
        </w:numPr>
        <w:pStyle w:val="Compact"/>
      </w:pPr>
      <w:r>
        <w:t xml:space="preserve">The letter is saved to the alert history log with a timestamp</w:t>
      </w:r>
    </w:p>
    <w:bookmarkEnd w:id="58"/>
    <w:bookmarkStart w:id="59" w:name="letter-tone-logic"/>
    <w:p>
      <w:pPr>
        <w:pStyle w:val="Heading3"/>
      </w:pPr>
      <w:r>
        <w:t xml:space="preserve">9.3 Letter Tone Logic</w:t>
      </w:r>
    </w:p>
    <w:p>
      <w:pPr>
        <w:pStyle w:val="FirstParagraph"/>
      </w:pPr>
      <w:r>
        <w:t xml:space="preserve">The AI adjusts the tone based on the covenant status:</w:t>
      </w:r>
    </w:p>
    <w:p>
      <w:pPr>
        <w:numPr>
          <w:ilvl w:val="0"/>
          <w:numId w:val="1009"/>
        </w:numPr>
        <w:pStyle w:val="Compact"/>
      </w:pPr>
      <w:r>
        <w:rPr>
          <w:bCs/>
          <w:b/>
        </w:rPr>
        <w:t xml:space="preserve">PASS status:</w:t>
      </w:r>
      <w:r>
        <w:t xml:space="preserve"> </w:t>
      </w:r>
      <w:r>
        <w:t xml:space="preserve">Proactive update tone —</w:t>
      </w:r>
      <w:r>
        <w:t xml:space="preserve"> </w:t>
      </w:r>
      <w:r>
        <w:t xml:space="preserve">“</w:t>
      </w:r>
      <w:r>
        <w:t xml:space="preserve">We are writing to provide a routine update on our covenant compliance. All covenants are currently within limits.</w:t>
      </w:r>
      <w:r>
        <w:t xml:space="preserve">”</w:t>
      </w:r>
    </w:p>
    <w:p>
      <w:pPr>
        <w:numPr>
          <w:ilvl w:val="0"/>
          <w:numId w:val="1009"/>
        </w:numPr>
        <w:pStyle w:val="Compact"/>
      </w:pPr>
      <w:r>
        <w:rPr>
          <w:bCs/>
          <w:b/>
        </w:rPr>
        <w:t xml:space="preserve">WARNING status:</w:t>
      </w:r>
      <w:r>
        <w:t xml:space="preserve"> </w:t>
      </w:r>
      <w:r>
        <w:t xml:space="preserve">Constructive, forward-looking tone —</w:t>
      </w:r>
      <w:r>
        <w:t xml:space="preserve"> </w:t>
      </w:r>
      <w:r>
        <w:t xml:space="preserve">“</w:t>
      </w:r>
      <w:r>
        <w:t xml:space="preserve">We want to proactively flag a trend we are monitoring and share the steps we are taking.</w:t>
      </w:r>
      <w:r>
        <w:t xml:space="preserve">”</w:t>
      </w:r>
    </w:p>
    <w:p>
      <w:pPr>
        <w:numPr>
          <w:ilvl w:val="0"/>
          <w:numId w:val="1009"/>
        </w:numPr>
        <w:pStyle w:val="Compact"/>
      </w:pPr>
      <w:r>
        <w:rPr>
          <w:bCs/>
          <w:b/>
        </w:rPr>
        <w:t xml:space="preserve">BREACH status:</w:t>
      </w:r>
      <w:r>
        <w:t xml:space="preserve"> </w:t>
      </w:r>
      <w:r>
        <w:t xml:space="preserve">Formal, factual, solution-oriented tone —</w:t>
      </w:r>
      <w:r>
        <w:t xml:space="preserve"> </w:t>
      </w:r>
      <w:r>
        <w:t xml:space="preserve">“</w:t>
      </w:r>
      <w:r>
        <w:t xml:space="preserve">We are writing to formally notify you of a technical covenant breach and to request a waiver discussion.</w:t>
      </w:r>
      <w:r>
        <w:t xml:space="preserve">”</w:t>
      </w:r>
    </w:p>
    <w:p>
      <w:r>
        <w:pict>
          <v:rect style="width:0;height:1.5pt" o:hralign="center" o:hrstd="t" o:hr="t"/>
        </w:pict>
      </w:r>
    </w:p>
    <w:bookmarkEnd w:id="59"/>
    <w:bookmarkEnd w:id="60"/>
    <w:bookmarkStart w:id="63" w:name="part-10-database-requirements"/>
    <w:p>
      <w:pPr>
        <w:pStyle w:val="Heading2"/>
      </w:pPr>
      <w:r>
        <w:t xml:space="preserve">Part 10 — Database Requirements</w:t>
      </w:r>
    </w:p>
    <w:bookmarkStart w:id="61" w:name="data-that-must-be-stored"/>
    <w:p>
      <w:pPr>
        <w:pStyle w:val="Heading3"/>
      </w:pPr>
      <w:r>
        <w:t xml:space="preserve">10.1 Data That Must Be Stored</w:t>
      </w:r>
    </w:p>
    <w:p>
      <w:pPr>
        <w:pStyle w:val="FirstParagraph"/>
      </w:pPr>
      <w:r>
        <w:rPr>
          <w:bCs/>
          <w:b/>
        </w:rPr>
        <w:t xml:space="preserve">Companies Table:</w:t>
      </w:r>
      <w:r>
        <w:t xml:space="preserve"> </w:t>
      </w:r>
      <w:r>
        <w:t xml:space="preserve">company name, QuickBooks realm ID, date connected, contact email addresses (CFO, Operating Partner)</w:t>
      </w:r>
    </w:p>
    <w:p>
      <w:pPr>
        <w:pStyle w:val="BodyText"/>
      </w:pPr>
      <w:r>
        <w:rPr>
          <w:bCs/>
          <w:b/>
        </w:rPr>
        <w:t xml:space="preserve">Authentication Table:</w:t>
      </w:r>
      <w:r>
        <w:t xml:space="preserve"> </w:t>
      </w:r>
      <w:r>
        <w:t xml:space="preserve">QuickBooks access credentials (encrypted), expiry timestamp, refresh token (valid 101 days), last refresh timestamp</w:t>
      </w:r>
    </w:p>
    <w:p>
      <w:pPr>
        <w:pStyle w:val="BodyText"/>
      </w:pPr>
      <w:r>
        <w:rPr>
          <w:bCs/>
          <w:b/>
        </w:rPr>
        <w:t xml:space="preserve">Covenants Table:</w:t>
      </w:r>
      <w:r>
        <w:t xml:space="preserve"> </w:t>
      </w:r>
      <w:r>
        <w:t xml:space="preserve">covenant name, ratio type, threshold, direction (max/min), measurement period, cure period in days, seasonal carve-outs, source page reference, active/inactive flag, date extracted</w:t>
      </w:r>
    </w:p>
    <w:p>
      <w:pPr>
        <w:pStyle w:val="BodyText"/>
      </w:pPr>
      <w:r>
        <w:rPr>
          <w:bCs/>
          <w:b/>
        </w:rPr>
        <w:t xml:space="preserve">Daily Ratio Snapshots Table:</w:t>
      </w:r>
      <w:r>
        <w:t xml:space="preserve"> </w:t>
      </w:r>
      <w:r>
        <w:t xml:space="preserve">company, covenant, date, ratio value, status (PASS/WARNING/BREACH), headroom percentage</w:t>
      </w:r>
    </w:p>
    <w:p>
      <w:pPr>
        <w:pStyle w:val="BodyText"/>
      </w:pPr>
      <w:r>
        <w:rPr>
          <w:bCs/>
          <w:b/>
        </w:rPr>
        <w:t xml:space="preserve">Forecast Table:</w:t>
      </w:r>
      <w:r>
        <w:t xml:space="preserve"> </w:t>
      </w:r>
      <w:r>
        <w:t xml:space="preserve">company, covenant, forecast date, projected ratio value, projected status, date generated</w:t>
      </w:r>
    </w:p>
    <w:p>
      <w:pPr>
        <w:pStyle w:val="BodyText"/>
      </w:pPr>
      <w:r>
        <w:rPr>
          <w:bCs/>
          <w:b/>
        </w:rPr>
        <w:t xml:space="preserve">Alert History Table:</w:t>
      </w:r>
      <w:r>
        <w:t xml:space="preserve"> </w:t>
      </w:r>
      <w:r>
        <w:t xml:space="preserve">company, covenant, alert type, ratio value at alert time, threshold, headroom at alert time, email sent to, timestamp sent, acknowledged flag</w:t>
      </w:r>
    </w:p>
    <w:p>
      <w:pPr>
        <w:pStyle w:val="BodyText"/>
      </w:pPr>
      <w:r>
        <w:rPr>
          <w:bCs/>
          <w:b/>
        </w:rPr>
        <w:t xml:space="preserve">Compliance Letters Table:</w:t>
      </w:r>
      <w:r>
        <w:t xml:space="preserve"> </w:t>
      </w:r>
      <w:r>
        <w:t xml:space="preserve">company, letter content, addressed to, generated at timestamp, covenant statuses at time of generation</w:t>
      </w:r>
    </w:p>
    <w:bookmarkEnd w:id="61"/>
    <w:bookmarkStart w:id="62" w:name="data-retention"/>
    <w:p>
      <w:pPr>
        <w:pStyle w:val="Heading3"/>
      </w:pPr>
      <w:r>
        <w:t xml:space="preserve">10.2 Data Retention</w:t>
      </w:r>
    </w:p>
    <w:p>
      <w:pPr>
        <w:numPr>
          <w:ilvl w:val="0"/>
          <w:numId w:val="1010"/>
        </w:numPr>
        <w:pStyle w:val="Compact"/>
      </w:pPr>
      <w:r>
        <w:t xml:space="preserve">Ratio snapshots: 24 months</w:t>
      </w:r>
    </w:p>
    <w:p>
      <w:pPr>
        <w:numPr>
          <w:ilvl w:val="0"/>
          <w:numId w:val="1010"/>
        </w:numPr>
        <w:pStyle w:val="Compact"/>
      </w:pPr>
      <w:r>
        <w:t xml:space="preserve">Alert history: 36 months</w:t>
      </w:r>
    </w:p>
    <w:p>
      <w:pPr>
        <w:numPr>
          <w:ilvl w:val="0"/>
          <w:numId w:val="1010"/>
        </w:numPr>
        <w:pStyle w:val="Compact"/>
      </w:pPr>
      <w:r>
        <w:t xml:space="preserve">Compliance letters: permanent (audit trail)</w:t>
      </w:r>
    </w:p>
    <w:p>
      <w:pPr>
        <w:numPr>
          <w:ilvl w:val="0"/>
          <w:numId w:val="1010"/>
        </w:numPr>
        <w:pStyle w:val="Compact"/>
      </w:pPr>
      <w:r>
        <w:t xml:space="preserve">Forecast data: 30 days (regenerated nightly)</w:t>
      </w:r>
    </w:p>
    <w:p>
      <w:r>
        <w:pict>
          <v:rect style="width:0;height:1.5pt" o:hralign="center" o:hrstd="t" o:hr="t"/>
        </w:pict>
      </w:r>
    </w:p>
    <w:bookmarkEnd w:id="62"/>
    <w:bookmarkEnd w:id="63"/>
    <w:bookmarkStart w:id="65" w:name="part-11-technology-stack-for-demo"/>
    <w:p>
      <w:pPr>
        <w:pStyle w:val="Heading2"/>
      </w:pPr>
      <w:r>
        <w:t xml:space="preserve">Part 11 — Technology Stack for Demo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Recommended Tool</w:t>
            </w:r>
          </w:p>
        </w:tc>
        <w:tc>
          <w:tcPr/>
          <w:p>
            <w:pPr>
              <w:pStyle w:val="Compact"/>
              <w:jc w:val="left"/>
            </w:pPr>
            <w:r>
              <w:t xml:space="preserve">Why</w:t>
            </w:r>
          </w:p>
        </w:tc>
      </w:tr>
      <w:tr>
        <w:tc>
          <w:tcPr/>
          <w:p>
            <w:pPr>
              <w:pStyle w:val="Compact"/>
              <w:jc w:val="left"/>
            </w:pPr>
            <w:r>
              <w:t xml:space="preserve">Backend</w:t>
            </w:r>
          </w:p>
        </w:tc>
        <w:tc>
          <w:tcPr/>
          <w:p>
            <w:pPr>
              <w:pStyle w:val="Compact"/>
              <w:jc w:val="left"/>
            </w:pPr>
            <w:r>
              <w:t xml:space="preserve">Python + FastAPI</w:t>
            </w:r>
          </w:p>
        </w:tc>
        <w:tc>
          <w:tcPr/>
          <w:p>
            <w:pPr>
              <w:pStyle w:val="Compact"/>
              <w:jc w:val="left"/>
            </w:pPr>
            <w:r>
              <w:t xml:space="preserve">Fast API development, clean async support</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Financial data requires ACID compliance</w:t>
            </w:r>
          </w:p>
        </w:tc>
      </w:tr>
      <w:tr>
        <w:tc>
          <w:tcPr/>
          <w:p>
            <w:pPr>
              <w:pStyle w:val="Compact"/>
              <w:jc w:val="left"/>
            </w:pPr>
            <w:r>
              <w:t xml:space="preserve">QuickBooks Integration</w:t>
            </w:r>
          </w:p>
        </w:tc>
        <w:tc>
          <w:tcPr/>
          <w:p>
            <w:pPr>
              <w:pStyle w:val="Compact"/>
              <w:jc w:val="left"/>
            </w:pPr>
            <w:r>
              <w:t xml:space="preserve">Direct REST API calls (no third-party wrapper)</w:t>
            </w:r>
          </w:p>
        </w:tc>
        <w:tc>
          <w:tcPr/>
          <w:p>
            <w:pPr>
              <w:pStyle w:val="Compact"/>
              <w:jc w:val="left"/>
            </w:pPr>
            <w:r>
              <w:t xml:space="preserve">Full control, no vendor dependency</w:t>
            </w:r>
          </w:p>
        </w:tc>
      </w:tr>
      <w:tr>
        <w:tc>
          <w:tcPr/>
          <w:p>
            <w:pPr>
              <w:pStyle w:val="Compact"/>
              <w:jc w:val="left"/>
            </w:pPr>
            <w:r>
              <w:t xml:space="preserve">AI — PDF Parsing</w:t>
            </w:r>
          </w:p>
        </w:tc>
        <w:tc>
          <w:tcPr/>
          <w:p>
            <w:pPr>
              <w:pStyle w:val="Compact"/>
              <w:jc w:val="left"/>
            </w:pPr>
            <w:r>
              <w:t xml:space="preserve">OpenAI GPT-4o or Anthropic Claude Sonnet</w:t>
            </w:r>
          </w:p>
        </w:tc>
        <w:tc>
          <w:tcPr/>
          <w:p>
            <w:pPr>
              <w:pStyle w:val="Compact"/>
              <w:jc w:val="left"/>
            </w:pPr>
            <w:r>
              <w:t xml:space="preserve">Both handle large PDF documents well</w:t>
            </w:r>
          </w:p>
        </w:tc>
      </w:tr>
      <w:tr>
        <w:tc>
          <w:tcPr/>
          <w:p>
            <w:pPr>
              <w:pStyle w:val="Compact"/>
              <w:jc w:val="left"/>
            </w:pPr>
            <w:r>
              <w:t xml:space="preserve">AI — Letter Generation</w:t>
            </w:r>
          </w:p>
        </w:tc>
        <w:tc>
          <w:tcPr/>
          <w:p>
            <w:pPr>
              <w:pStyle w:val="Compact"/>
              <w:jc w:val="left"/>
            </w:pPr>
            <w:r>
              <w:t xml:space="preserve">Same model as PDF parsing</w:t>
            </w:r>
          </w:p>
        </w:tc>
        <w:tc>
          <w:tcPr/>
          <w:p>
            <w:pPr>
              <w:pStyle w:val="Compact"/>
              <w:jc w:val="left"/>
            </w:pPr>
            <w:r>
              <w:t xml:space="preserve">Consistency, single API key</w:t>
            </w:r>
          </w:p>
        </w:tc>
      </w:tr>
      <w:tr>
        <w:tc>
          <w:tcPr/>
          <w:p>
            <w:pPr>
              <w:pStyle w:val="Compact"/>
              <w:jc w:val="left"/>
            </w:pPr>
            <w:r>
              <w:t xml:space="preserve">Email Alerts</w:t>
            </w:r>
          </w:p>
        </w:tc>
        <w:tc>
          <w:tcPr/>
          <w:p>
            <w:pPr>
              <w:pStyle w:val="Compact"/>
              <w:jc w:val="left"/>
            </w:pPr>
            <w:r>
              <w:t xml:space="preserve">SendGrid (free tier: 100 emails/day)</w:t>
            </w:r>
          </w:p>
        </w:tc>
        <w:tc>
          <w:tcPr/>
          <w:p>
            <w:pPr>
              <w:pStyle w:val="Compact"/>
              <w:jc w:val="left"/>
            </w:pPr>
            <w:r>
              <w:t xml:space="preserve">Reliable delivery, simple API</w:t>
            </w:r>
          </w:p>
        </w:tc>
      </w:tr>
      <w:tr>
        <w:tc>
          <w:tcPr/>
          <w:p>
            <w:pPr>
              <w:pStyle w:val="Compact"/>
              <w:jc w:val="left"/>
            </w:pPr>
            <w:r>
              <w:t xml:space="preserve">Frontend</w:t>
            </w:r>
          </w:p>
        </w:tc>
        <w:tc>
          <w:tcPr/>
          <w:p>
            <w:pPr>
              <w:pStyle w:val="Compact"/>
              <w:jc w:val="left"/>
            </w:pPr>
            <w:r>
              <w:t xml:space="preserve">React + Recharts</w:t>
            </w:r>
          </w:p>
        </w:tc>
        <w:tc>
          <w:tcPr/>
          <w:p>
            <w:pPr>
              <w:pStyle w:val="Compact"/>
              <w:jc w:val="left"/>
            </w:pPr>
            <w:r>
              <w:t xml:space="preserve">Industry standard, good charting library</w:t>
            </w:r>
          </w:p>
        </w:tc>
      </w:tr>
      <w:tr>
        <w:tc>
          <w:tcPr/>
          <w:p>
            <w:pPr>
              <w:pStyle w:val="Compact"/>
              <w:jc w:val="left"/>
            </w:pPr>
            <w:r>
              <w:t xml:space="preserve">Scheduling</w:t>
            </w:r>
          </w:p>
        </w:tc>
        <w:tc>
          <w:tcPr/>
          <w:p>
            <w:pPr>
              <w:pStyle w:val="Compact"/>
              <w:jc w:val="left"/>
            </w:pPr>
            <w:r>
              <w:t xml:space="preserve">APScheduler (Python library)</w:t>
            </w:r>
          </w:p>
        </w:tc>
        <w:tc>
          <w:tcPr/>
          <w:p>
            <w:pPr>
              <w:pStyle w:val="Compact"/>
              <w:jc w:val="left"/>
            </w:pPr>
            <w:r>
              <w:t xml:space="preserve">Simple nightly cron, no Redis required</w:t>
            </w:r>
          </w:p>
        </w:tc>
      </w:tr>
      <w:tr>
        <w:tc>
          <w:tcPr/>
          <w:p>
            <w:pPr>
              <w:pStyle w:val="Compact"/>
              <w:jc w:val="left"/>
            </w:pPr>
            <w:r>
              <w:t xml:space="preserve">Hosting</w:t>
            </w:r>
          </w:p>
        </w:tc>
        <w:tc>
          <w:tcPr/>
          <w:p>
            <w:pPr>
              <w:pStyle w:val="Compact"/>
              <w:jc w:val="left"/>
            </w:pPr>
            <w:r>
              <w:t xml:space="preserve">Railway or Render</w:t>
            </w:r>
          </w:p>
        </w:tc>
        <w:tc>
          <w:tcPr/>
          <w:p>
            <w:pPr>
              <w:pStyle w:val="Compact"/>
              <w:jc w:val="left"/>
            </w:pPr>
            <w:r>
              <w:t xml:space="preserve">One-click deploy, $5–$10/month</w:t>
            </w:r>
          </w:p>
        </w:tc>
      </w:tr>
      <w:tr>
        <w:tc>
          <w:tcPr/>
          <w:p>
            <w:pPr>
              <w:pStyle w:val="Compact"/>
              <w:jc w:val="left"/>
            </w:pPr>
            <w:r>
              <w:rPr>
                <w:bCs/>
                <w:b/>
              </w:rPr>
              <w:t xml:space="preserve">Total monthly cost</w:t>
            </w:r>
          </w:p>
        </w:tc>
        <w:tc>
          <w:tcPr/>
          <w:p>
            <w:pPr>
              <w:pStyle w:val="Compact"/>
            </w:pPr>
          </w:p>
        </w:tc>
        <w:tc>
          <w:tcPr/>
          <w:p>
            <w:pPr>
              <w:pStyle w:val="Compact"/>
              <w:jc w:val="left"/>
            </w:pPr>
            <w:r>
              <w:rPr>
                <w:bCs/>
                <w:b/>
              </w:rPr>
              <w:t xml:space="preserve">Under $20/month for demo</w:t>
            </w:r>
          </w:p>
        </w:tc>
      </w:tr>
    </w:tbl>
    <w:bookmarkStart w:id="64" w:name="ai-cost-estimate"/>
    <w:p>
      <w:pPr>
        <w:pStyle w:val="Heading3"/>
      </w:pPr>
      <w:r>
        <w:t xml:space="preserve">AI Cost Estimate</w:t>
      </w:r>
    </w:p>
    <w:p>
      <w:pPr>
        <w:numPr>
          <w:ilvl w:val="0"/>
          <w:numId w:val="1011"/>
        </w:numPr>
        <w:pStyle w:val="Compact"/>
      </w:pPr>
      <w:r>
        <w:t xml:space="preserve">PDF parsing: approximately $0.05 to $0.30 per loan agreement (runs once per upload)</w:t>
      </w:r>
    </w:p>
    <w:p>
      <w:pPr>
        <w:numPr>
          <w:ilvl w:val="0"/>
          <w:numId w:val="1011"/>
        </w:numPr>
        <w:pStyle w:val="Compact"/>
      </w:pPr>
      <w:r>
        <w:t xml:space="preserve">Letter generation: approximately $0.01 to $0.05 per letter (runs on demand)</w:t>
      </w:r>
    </w:p>
    <w:p>
      <w:pPr>
        <w:numPr>
          <w:ilvl w:val="0"/>
          <w:numId w:val="1011"/>
        </w:numPr>
        <w:pStyle w:val="Compact"/>
      </w:pPr>
      <w:r>
        <w:t xml:space="preserve">Total monthly AI cost for 50 portfolio companies: $5 to $20</w:t>
      </w:r>
    </w:p>
    <w:p>
      <w:r>
        <w:pict>
          <v:rect style="width:0;height:1.5pt" o:hralign="center" o:hrstd="t" o:hr="t"/>
        </w:pict>
      </w:r>
    </w:p>
    <w:bookmarkEnd w:id="64"/>
    <w:bookmarkEnd w:id="65"/>
    <w:bookmarkStart w:id="74" w:name="part-12-demo-build-timeline-8-weeks"/>
    <w:p>
      <w:pPr>
        <w:pStyle w:val="Heading2"/>
      </w:pPr>
      <w:r>
        <w:t xml:space="preserve">Part 12 — Demo Build Timeline (8 Weeks)</w:t>
      </w:r>
    </w:p>
    <w:bookmarkStart w:id="66" w:name="week-1-environment-setup"/>
    <w:p>
      <w:pPr>
        <w:pStyle w:val="Heading3"/>
      </w:pPr>
      <w:r>
        <w:t xml:space="preserve">Week 1 — Environment Setup</w:t>
      </w:r>
    </w:p>
    <w:p>
      <w:pPr>
        <w:pStyle w:val="FirstParagraph"/>
      </w:pPr>
      <w:r>
        <w:t xml:space="preserve">Set up the developer account on developer.intuit.com. Create the QuickBooks Sandbox company. Set up the PostgreSQL database with all tables. Confirm that a manual API call to QuickBooks returns a Balance Sheet successfully.</w:t>
      </w:r>
    </w:p>
    <w:bookmarkEnd w:id="66"/>
    <w:bookmarkStart w:id="67" w:name="week-2-data-sync-pipeline"/>
    <w:p>
      <w:pPr>
        <w:pStyle w:val="Heading3"/>
      </w:pPr>
      <w:r>
        <w:t xml:space="preserve">Week 2 — Data Sync Pipeline</w:t>
      </w:r>
    </w:p>
    <w:p>
      <w:pPr>
        <w:pStyle w:val="FirstParagraph"/>
      </w:pPr>
      <w:r>
        <w:t xml:space="preserve">Build the three nightly QuickBooks report pulls (P&amp;L, Balance Sheet, Cash Flow). Parse the JSON responses and store all required financial line items in the database. Build the nightly scheduler. Confirm that 12 months of financial data is stored correctly after the first sync.</w:t>
      </w:r>
    </w:p>
    <w:bookmarkEnd w:id="67"/>
    <w:bookmarkStart w:id="68" w:name="week-3-pdf-parser"/>
    <w:p>
      <w:pPr>
        <w:pStyle w:val="Heading3"/>
      </w:pPr>
      <w:r>
        <w:t xml:space="preserve">Week 3 — PDF Parser</w:t>
      </w:r>
    </w:p>
    <w:p>
      <w:pPr>
        <w:pStyle w:val="FirstParagraph"/>
      </w:pPr>
      <w:r>
        <w:t xml:space="preserve">Implement the loan agreement upload endpoint. Connect to the AI API. Test extraction on 2 to 3 sample loan agreements (anonymous examples are publicly available on law firm websites). Build the review screen where the CFO confirms extracted covenants.</w:t>
      </w:r>
    </w:p>
    <w:bookmarkEnd w:id="68"/>
    <w:bookmarkStart w:id="69" w:name="week-4-ratio-calculator"/>
    <w:p>
      <w:pPr>
        <w:pStyle w:val="Heading3"/>
      </w:pPr>
      <w:r>
        <w:t xml:space="preserve">Week 4 — Ratio Calculator</w:t>
      </w:r>
    </w:p>
    <w:p>
      <w:pPr>
        <w:pStyle w:val="FirstParagraph"/>
      </w:pPr>
      <w:r>
        <w:t xml:space="preserve">Build all five ratio calculations using stored financial data. Connect calculations to the stored covenant thresholds. Implement the PASS / WARNING / BREACH status logic. Store daily snapshots. Confirm ratios match manual calculations from the same QuickBooks data.</w:t>
      </w:r>
    </w:p>
    <w:bookmarkEnd w:id="69"/>
    <w:bookmarkStart w:id="70" w:name="week-5-forecast-engine"/>
    <w:p>
      <w:pPr>
        <w:pStyle w:val="Heading3"/>
      </w:pPr>
      <w:r>
        <w:t xml:space="preserve">Week 5 — Forecast Engine</w:t>
      </w:r>
    </w:p>
    <w:p>
      <w:pPr>
        <w:pStyle w:val="FirstParagraph"/>
      </w:pPr>
      <w:r>
        <w:t xml:space="preserve">Build the 90-day linear trend projection. Store forecast outputs. Build the alert trigger logic for forecast-based warnings. Test with seeded historical data that shows a covenant trending toward breach.</w:t>
      </w:r>
    </w:p>
    <w:bookmarkEnd w:id="70"/>
    <w:bookmarkStart w:id="71" w:name="week-6-alert-system"/>
    <w:p>
      <w:pPr>
        <w:pStyle w:val="Heading3"/>
      </w:pPr>
      <w:r>
        <w:t xml:space="preserve">Week 6 — Alert System</w:t>
      </w:r>
    </w:p>
    <w:p>
      <w:pPr>
        <w:pStyle w:val="FirstParagraph"/>
      </w:pPr>
      <w:r>
        <w:t xml:space="preserve">Set up SendGrid account. Build the email alert templates (HTML formatted, professional). Implement deduplication logic. Build the compliance letter generator. Test the full alert-to-email flow end to end.</w:t>
      </w:r>
    </w:p>
    <w:bookmarkEnd w:id="71"/>
    <w:bookmarkStart w:id="72" w:name="week-7-frontend-dashboard"/>
    <w:p>
      <w:pPr>
        <w:pStyle w:val="Heading3"/>
      </w:pPr>
      <w:r>
        <w:t xml:space="preserve">Week 7 — Frontend Dashboard</w:t>
      </w:r>
    </w:p>
    <w:p>
      <w:pPr>
        <w:pStyle w:val="FirstParagraph"/>
      </w:pPr>
      <w:r>
        <w:t xml:space="preserve">Build the React dashboard with all five sections: header bar, covenant gauge cards, forecast chart, alert history, and actions panel. Build the multi-company portfolio overview for PE firm users. Polish the UI for demo presentation quality.</w:t>
      </w:r>
    </w:p>
    <w:bookmarkEnd w:id="72"/>
    <w:bookmarkStart w:id="73" w:name="week-8-demo-preparation"/>
    <w:p>
      <w:pPr>
        <w:pStyle w:val="Heading3"/>
      </w:pPr>
      <w:r>
        <w:t xml:space="preserve">Week 8 — Demo Preparation</w:t>
      </w:r>
    </w:p>
    <w:p>
      <w:pPr>
        <w:pStyle w:val="FirstParagraph"/>
      </w:pPr>
      <w:r>
        <w:t xml:space="preserve">Seed the database with 12 months of realistic historical data showing a leverage ratio climbing from 2.5x to 3.8x (close to a 4.0x threshold). Write and rehearse the 5-minute demo script. Record a Loom walkthrough video. Prepare a one-page PDF leave-behind for PE firms.</w:t>
      </w:r>
    </w:p>
    <w:p>
      <w:r>
        <w:pict>
          <v:rect style="width:0;height:1.5pt" o:hralign="center" o:hrstd="t" o:hr="t"/>
        </w:pict>
      </w:r>
    </w:p>
    <w:bookmarkEnd w:id="73"/>
    <w:bookmarkEnd w:id="74"/>
    <w:bookmarkStart w:id="76" w:name="part-13-demo-script"/>
    <w:p>
      <w:pPr>
        <w:pStyle w:val="Heading2"/>
      </w:pPr>
      <w:r>
        <w:t xml:space="preserve">Part 13 — Demo Script</w:t>
      </w:r>
    </w:p>
    <w:bookmarkStart w:id="75" w:name="the-5-minute-walkthrough"/>
    <w:p>
      <w:pPr>
        <w:pStyle w:val="Heading3"/>
      </w:pPr>
      <w:r>
        <w:t xml:space="preserve">The 5-Minute Walkthrough</w:t>
      </w:r>
    </w:p>
    <w:p>
      <w:pPr>
        <w:pStyle w:val="FirstParagraph"/>
      </w:pPr>
      <w:r>
        <w:rPr>
          <w:bCs/>
          <w:b/>
        </w:rPr>
        <w:t xml:space="preserve">Opening (60 seconds):</w:t>
      </w:r>
      <w:r>
        <w:t xml:space="preserve"> </w:t>
      </w:r>
      <w:r>
        <w:t xml:space="preserve">“</w:t>
      </w:r>
      <w:r>
        <w:t xml:space="preserve">Your portfolio company borrowed $40 million in 2023. Their loan has three covenants. The next quarterly compliance certificate is due April 1st. But right now, their leverage ratio sits at 3.85x — and the threshold is 4.0x. That’s only 3.75% headroom. If Q1 numbers come in even slightly below Q4, they’re in technical default. Under the old process, you won’t find out until April 1st — after it’s already happened.</w:t>
      </w:r>
      <w:r>
        <w:t xml:space="preserve">”</w:t>
      </w:r>
    </w:p>
    <w:p>
      <w:pPr>
        <w:pStyle w:val="BodyText"/>
      </w:pPr>
      <w:r>
        <w:rPr>
          <w:bCs/>
          <w:b/>
        </w:rPr>
        <w:t xml:space="preserve">Show the Dashboard (90 seconds):</w:t>
      </w:r>
      <w:r>
        <w:t xml:space="preserve"> </w:t>
      </w:r>
      <w:r>
        <w:t xml:space="preserve">Open the dashboard. Point to the yellow WARNING card on leverage ratio. Point to the 90-day forecast chart showing the ratio trending upward toward the red zone.</w:t>
      </w:r>
      <w:r>
        <w:t xml:space="preserve"> </w:t>
      </w:r>
      <w:r>
        <w:t xml:space="preserve">“</w:t>
      </w:r>
      <w:r>
        <w:t xml:space="preserve">The system detected this trend 6 weeks ago. The CFO saw it on their dashboard the next morning.</w:t>
      </w:r>
      <w:r>
        <w:t xml:space="preserve">”</w:t>
      </w:r>
    </w:p>
    <w:p>
      <w:pPr>
        <w:pStyle w:val="BodyText"/>
      </w:pPr>
      <w:r>
        <w:rPr>
          <w:bCs/>
          <w:b/>
        </w:rPr>
        <w:t xml:space="preserve">Show the Alert Email (60 seconds):</w:t>
      </w:r>
      <w:r>
        <w:t xml:space="preserve"> </w:t>
      </w:r>
      <w:r>
        <w:t xml:space="preserve">Display an example alert email. Read the key line:</w:t>
      </w:r>
      <w:r>
        <w:t xml:space="preserve"> </w:t>
      </w:r>
      <w:r>
        <w:t xml:space="preserve">“</w:t>
      </w:r>
      <w:r>
        <w:t xml:space="preserve">Your leverage ratio is projected to breach the 4.0x threshold in approximately 47 days. We recommend discussing remediation options with your lender.</w:t>
      </w:r>
      <w:r>
        <w:t xml:space="preserve">”</w:t>
      </w:r>
      <w:r>
        <w:t xml:space="preserve"> </w:t>
      </w:r>
      <w:r>
        <w:t xml:space="preserve">“</w:t>
      </w:r>
      <w:r>
        <w:t xml:space="preserve">The CFO had 47 days to act. In the old world, they had zero days.</w:t>
      </w:r>
      <w:r>
        <w:t xml:space="preserve">”</w:t>
      </w:r>
    </w:p>
    <w:p>
      <w:pPr>
        <w:pStyle w:val="BodyText"/>
      </w:pPr>
      <w:r>
        <w:rPr>
          <w:bCs/>
          <w:b/>
        </w:rPr>
        <w:t xml:space="preserve">Show the Compliance Letter (30 seconds):</w:t>
      </w:r>
      <w:r>
        <w:t xml:space="preserve"> </w:t>
      </w:r>
      <w:r>
        <w:t xml:space="preserve">Click</w:t>
      </w:r>
      <w:r>
        <w:t xml:space="preserve"> </w:t>
      </w:r>
      <w:r>
        <w:t xml:space="preserve">“</w:t>
      </w:r>
      <w:r>
        <w:t xml:space="preserve">Generate Compliance Letter.</w:t>
      </w:r>
      <w:r>
        <w:t xml:space="preserve">”</w:t>
      </w:r>
      <w:r>
        <w:t xml:space="preserve"> </w:t>
      </w:r>
      <w:r>
        <w:t xml:space="preserve">Wait 10 seconds. Show the generated letter.</w:t>
      </w:r>
      <w:r>
        <w:t xml:space="preserve"> </w:t>
      </w:r>
      <w:r>
        <w:t xml:space="preserve">“</w:t>
      </w:r>
      <w:r>
        <w:t xml:space="preserve">One click. A professionally written letter to the lender, requesting a waiver discussion. In the old world, this took 3 days and $4,000 in legal fees.</w:t>
      </w:r>
      <w:r>
        <w:t xml:space="preserve">”</w:t>
      </w:r>
    </w:p>
    <w:p>
      <w:pPr>
        <w:pStyle w:val="BodyText"/>
      </w:pPr>
      <w:r>
        <w:rPr>
          <w:bCs/>
          <w:b/>
        </w:rPr>
        <w:t xml:space="preserve">Close (30 seconds):</w:t>
      </w:r>
      <w:r>
        <w:t xml:space="preserve"> </w:t>
      </w:r>
      <w:r>
        <w:t xml:space="preserve">“</w:t>
      </w:r>
      <w:r>
        <w:t xml:space="preserve">The most funded startup in this space — Finley — was just acquired two months ago. The mid-market is wide open. Every PE firm with more than 3 portfolio companies has this problem today. This system monitors all of them, every day, for under $20 a month.</w:t>
      </w:r>
      <w:r>
        <w:t xml:space="preserve">”</w:t>
      </w:r>
    </w:p>
    <w:p>
      <w:r>
        <w:pict>
          <v:rect style="width:0;height:1.5pt" o:hralign="center" o:hrstd="t" o:hr="t"/>
        </w:pict>
      </w:r>
    </w:p>
    <w:bookmarkEnd w:id="75"/>
    <w:bookmarkEnd w:id="76"/>
    <w:bookmarkStart w:id="80" w:name="part-14-pricing-and-go-to-market"/>
    <w:p>
      <w:pPr>
        <w:pStyle w:val="Heading2"/>
      </w:pPr>
      <w:r>
        <w:t xml:space="preserve">Part 14 — Pricing and Go-To-Market</w:t>
      </w:r>
    </w:p>
    <w:bookmarkStart w:id="77" w:name="pricing-tiers"/>
    <w:p>
      <w:pPr>
        <w:pStyle w:val="Heading3"/>
      </w:pPr>
      <w:r>
        <w:t xml:space="preserve">Pricing Tiers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Monthly Price</w:t>
            </w:r>
          </w:p>
        </w:tc>
        <w:tc>
          <w:tcPr/>
          <w:p>
            <w:pPr>
              <w:pStyle w:val="Compact"/>
              <w:jc w:val="left"/>
            </w:pPr>
            <w:r>
              <w:t xml:space="preserve">What’s Included</w:t>
            </w:r>
          </w:p>
        </w:tc>
      </w:tr>
      <w:tr>
        <w:tc>
          <w:tcPr/>
          <w:p>
            <w:pPr>
              <w:pStyle w:val="Compact"/>
              <w:jc w:val="left"/>
            </w:pPr>
            <w:r>
              <w:t xml:space="preserve">Starter</w:t>
            </w:r>
          </w:p>
        </w:tc>
        <w:tc>
          <w:tcPr/>
          <w:p>
            <w:pPr>
              <w:pStyle w:val="Compact"/>
              <w:jc w:val="left"/>
            </w:pPr>
            <w:r>
              <w:t xml:space="preserve">$499/month</w:t>
            </w:r>
          </w:p>
        </w:tc>
        <w:tc>
          <w:tcPr/>
          <w:p>
            <w:pPr>
              <w:pStyle w:val="Compact"/>
              <w:jc w:val="left"/>
            </w:pPr>
            <w:r>
              <w:t xml:space="preserve">1 portfolio company, up to 5 covenants, email alerts, dashboard</w:t>
            </w:r>
          </w:p>
        </w:tc>
      </w:tr>
      <w:tr>
        <w:tc>
          <w:tcPr/>
          <w:p>
            <w:pPr>
              <w:pStyle w:val="Compact"/>
              <w:jc w:val="left"/>
            </w:pPr>
            <w:r>
              <w:t xml:space="preserve">Growth</w:t>
            </w:r>
          </w:p>
        </w:tc>
        <w:tc>
          <w:tcPr/>
          <w:p>
            <w:pPr>
              <w:pStyle w:val="Compact"/>
              <w:jc w:val="left"/>
            </w:pPr>
            <w:r>
              <w:t xml:space="preserve">$1,499/month</w:t>
            </w:r>
          </w:p>
        </w:tc>
        <w:tc>
          <w:tcPr/>
          <w:p>
            <w:pPr>
              <w:pStyle w:val="Compact"/>
              <w:jc w:val="left"/>
            </w:pPr>
            <w:r>
              <w:t xml:space="preserve">Up to 10 portfolio companies, all features, unlimited PDF parsing</w:t>
            </w:r>
          </w:p>
        </w:tc>
      </w:tr>
      <w:tr>
        <w:tc>
          <w:tcPr/>
          <w:p>
            <w:pPr>
              <w:pStyle w:val="Compact"/>
              <w:jc w:val="left"/>
            </w:pPr>
            <w:r>
              <w:t xml:space="preserve">PE Firm</w:t>
            </w:r>
          </w:p>
        </w:tc>
        <w:tc>
          <w:tcPr/>
          <w:p>
            <w:pPr>
              <w:pStyle w:val="Compact"/>
              <w:jc w:val="left"/>
            </w:pPr>
            <w:r>
              <w:t xml:space="preserve">$3,999/month</w:t>
            </w:r>
          </w:p>
        </w:tc>
        <w:tc>
          <w:tcPr/>
          <w:p>
            <w:pPr>
              <w:pStyle w:val="Compact"/>
              <w:jc w:val="left"/>
            </w:pPr>
            <w:r>
              <w:t xml:space="preserve">Up to 50 portfolio companies, white-label dashboard, API access</w:t>
            </w:r>
          </w:p>
        </w:tc>
      </w:tr>
    </w:tbl>
    <w:p>
      <w:pPr>
        <w:pStyle w:val="BodyText"/>
      </w:pPr>
      <w:r>
        <w:t xml:space="preserve">Benchmark: A single attorney hour spent reviewing a covenant breach situation costs $800 to $1,500. This system pays for itself after one avoided legal conversation.</w:t>
      </w:r>
    </w:p>
    <w:bookmarkEnd w:id="77"/>
    <w:bookmarkStart w:id="78" w:name="target-buyer"/>
    <w:p>
      <w:pPr>
        <w:pStyle w:val="Heading3"/>
      </w:pPr>
      <w:r>
        <w:t xml:space="preserve">Target Buyer</w:t>
      </w:r>
    </w:p>
    <w:p>
      <w:pPr>
        <w:pStyle w:val="FirstParagraph"/>
      </w:pPr>
      <w:r>
        <w:t xml:space="preserve">Primary: Operating Partners and Portfolio CFOs at PE firms managing 5 to 25 portfolio companies.</w:t>
      </w:r>
    </w:p>
    <w:p>
      <w:pPr>
        <w:pStyle w:val="BodyText"/>
      </w:pPr>
      <w:r>
        <w:t xml:space="preserve">Their exact words:</w:t>
      </w:r>
      <w:r>
        <w:t xml:space="preserve"> </w:t>
      </w:r>
      <w:r>
        <w:t xml:space="preserve">“</w:t>
      </w:r>
      <w:r>
        <w:t xml:space="preserve">I spend the first two weeks of every quarter chasing financial statements from portfolio companies, manually rebuilding Excel models, and praying nothing is broken. By the time I find a problem, it’s already a problem.</w:t>
      </w:r>
      <w:r>
        <w:t xml:space="preserve">”</w:t>
      </w:r>
    </w:p>
    <w:p>
      <w:pPr>
        <w:pStyle w:val="BodyText"/>
      </w:pPr>
      <w:r>
        <w:t xml:space="preserve">Secondary: CFOs of individual PE-backed companies who interact with the dashboard daily.</w:t>
      </w:r>
    </w:p>
    <w:bookmarkEnd w:id="78"/>
    <w:bookmarkStart w:id="79" w:name="demo-to-sale-path"/>
    <w:p>
      <w:pPr>
        <w:pStyle w:val="Heading3"/>
      </w:pPr>
      <w:r>
        <w:t xml:space="preserve">Demo-to-Sale Path</w:t>
      </w:r>
    </w:p>
    <w:p>
      <w:pPr>
        <w:numPr>
          <w:ilvl w:val="0"/>
          <w:numId w:val="1012"/>
        </w:numPr>
        <w:pStyle w:val="Compact"/>
      </w:pPr>
      <w:r>
        <w:t xml:space="preserve">Request the PE firm’s portfolio company list (most firms publish this publicly).</w:t>
      </w:r>
    </w:p>
    <w:p>
      <w:pPr>
        <w:numPr>
          <w:ilvl w:val="0"/>
          <w:numId w:val="1012"/>
        </w:numPr>
        <w:pStyle w:val="Compact"/>
      </w:pPr>
      <w:r>
        <w:t xml:space="preserve">Identify one company with publicly disclosed debt (available in SEC filings or press releases).</w:t>
      </w:r>
    </w:p>
    <w:p>
      <w:pPr>
        <w:numPr>
          <w:ilvl w:val="0"/>
          <w:numId w:val="1012"/>
        </w:numPr>
        <w:pStyle w:val="Compact"/>
      </w:pPr>
      <w:r>
        <w:t xml:space="preserve">Pre-load that company’s financial data into the demo system before the meeting.</w:t>
      </w:r>
    </w:p>
    <w:p>
      <w:pPr>
        <w:numPr>
          <w:ilvl w:val="0"/>
          <w:numId w:val="1012"/>
        </w:numPr>
        <w:pStyle w:val="Compact"/>
      </w:pPr>
      <w:r>
        <w:t xml:space="preserve">Open the demo and show them their own company — not a fictional example.</w:t>
      </w:r>
    </w:p>
    <w:p>
      <w:pPr>
        <w:numPr>
          <w:ilvl w:val="0"/>
          <w:numId w:val="1012"/>
        </w:numPr>
        <w:pStyle w:val="Compact"/>
      </w:pPr>
      <w:r>
        <w:t xml:space="preserve">Close on a 3-company pilot at the Growth tier.</w:t>
      </w:r>
    </w:p>
    <w:p>
      <w:r>
        <w:pict>
          <v:rect style="width:0;height:1.5pt" o:hralign="center" o:hrstd="t" o:hr="t"/>
        </w:pict>
      </w:r>
    </w:p>
    <w:bookmarkEnd w:id="79"/>
    <w:bookmarkEnd w:id="80"/>
    <w:bookmarkStart w:id="81" w:name="appendix-a-sample-loan-covenant-language"/>
    <w:p>
      <w:pPr>
        <w:pStyle w:val="Heading2"/>
      </w:pPr>
      <w:r>
        <w:t xml:space="preserve">Appendix A — Sample Loan Covenant Language</w:t>
      </w:r>
    </w:p>
    <w:p>
      <w:pPr>
        <w:pStyle w:val="FirstParagraph"/>
      </w:pPr>
      <w:r>
        <w:t xml:space="preserve">The following is the type of text the AI PDF parser must correctly read and extract:</w:t>
      </w:r>
    </w:p>
    <w:p>
      <w:pPr>
        <w:pStyle w:val="BodyText"/>
      </w:pPr>
      <w:r>
        <w:rPr>
          <w:bCs/>
          <w:b/>
        </w:rPr>
        <w:t xml:space="preserve">Section 7.1 Financial Covenants</w:t>
      </w:r>
    </w:p>
    <w:p>
      <w:pPr>
        <w:pStyle w:val="BodyText"/>
      </w:pPr>
      <w:r>
        <w:rPr>
          <w:iCs/>
          <w:i/>
        </w:rPr>
        <w:t xml:space="preserve">(a) Maximum Total Leverage Ratio. The Borrower shall not permit the Total Leverage Ratio, measured as of the last day of each fiscal quarter of the Borrower, to exceed 4.00 to 1.00; provided that, solely for the fiscal quarters ending December 31 and March 31 of each fiscal year, such ratio shall not exceed 4.25 to 1.00.</w:t>
      </w:r>
    </w:p>
    <w:p>
      <w:pPr>
        <w:pStyle w:val="BodyText"/>
      </w:pPr>
      <w:r>
        <w:rPr>
          <w:iCs/>
          <w:i/>
        </w:rPr>
        <w:t xml:space="preserve">(b) Minimum Interest Coverage Ratio. The Borrower shall not permit the Interest Coverage Ratio, measured as of the last day of each fiscal quarter of the Borrower for the four-quarter period ending on such day, to be less than 2.50 to 1.00.</w:t>
      </w:r>
    </w:p>
    <w:p>
      <w:pPr>
        <w:pStyle w:val="BodyText"/>
      </w:pPr>
      <w:r>
        <w:rPr>
          <w:iCs/>
          <w:i/>
        </w:rPr>
        <w:t xml:space="preserve">(c) Minimum Liquidity. The Borrower shall maintain unrestricted cash and cash equivalents of not less than $2,000,000 at all times.</w:t>
      </w:r>
    </w:p>
    <w:p>
      <w:pPr>
        <w:pStyle w:val="BodyText"/>
      </w:pPr>
      <w:r>
        <w:rPr>
          <w:bCs/>
          <w:b/>
        </w:rPr>
        <w:t xml:space="preserve">What the AI must extract from (a):</w:t>
      </w:r>
      <w:r>
        <w:t xml:space="preserve"> </w:t>
      </w:r>
      <w:r>
        <w:t xml:space="preserve">Covenant name</w:t>
      </w:r>
      <w:r>
        <w:t xml:space="preserve"> </w:t>
      </w:r>
      <w:r>
        <w:t xml:space="preserve">“</w:t>
      </w:r>
      <w:r>
        <w:t xml:space="preserve">Maximum Total Leverage Ratio,</w:t>
      </w:r>
      <w:r>
        <w:t xml:space="preserve">”</w:t>
      </w:r>
      <w:r>
        <w:t xml:space="preserve"> </w:t>
      </w:r>
      <w:r>
        <w:t xml:space="preserve">ratio type Leverage Ratio, threshold 4.00, direction Maximum, measurement period Quarterly, and a seasonal carve-out of 4.25 for Q4 and Q1. This complexity — a base threshold with a seasonal exception written in a proviso clause — is why AI is required. Rule-based text extraction would miss the carve-out entirely.</w:t>
      </w:r>
    </w:p>
    <w:p>
      <w:r>
        <w:pict>
          <v:rect style="width:0;height:1.5pt" o:hralign="center" o:hrstd="t" o:hr="t"/>
        </w:pict>
      </w:r>
    </w:p>
    <w:bookmarkEnd w:id="81"/>
    <w:bookmarkStart w:id="82" w:name="Xc0854330b7a55e30a691303b6e527581cffc9ec"/>
    <w:p>
      <w:pPr>
        <w:pStyle w:val="Heading2"/>
      </w:pPr>
      <w:r>
        <w:t xml:space="preserve">Appendix B — QuickBooks API Reference (Non-Technical Summary)</w:t>
      </w:r>
    </w:p>
    <w:p>
      <w:pPr>
        <w:pStyle w:val="FirstParagraph"/>
      </w:pPr>
      <w:r>
        <w:t xml:space="preserve">The system makes exactly three API calls to QuickBooks per company per night:</w:t>
      </w:r>
    </w:p>
    <w:p>
      <w:pPr>
        <w:pStyle w:val="BodyText"/>
      </w:pPr>
      <w:r>
        <w:rPr>
          <w:bCs/>
          <w:b/>
        </w:rPr>
        <w:t xml:space="preserve">Call 1 — Profit &amp; Loss Report</w:t>
      </w:r>
      <w:r>
        <w:t xml:space="preserve"> </w:t>
      </w:r>
      <w:r>
        <w:t xml:space="preserve">Provides: Net Income, Interest Expense, Tax Expense, Depreciation, Amortization, Revenue, and Operating Expenses. These feed the EBITDA calculation and the Interest Coverage and Leverage ratios.</w:t>
      </w:r>
    </w:p>
    <w:p>
      <w:pPr>
        <w:pStyle w:val="BodyText"/>
      </w:pPr>
      <w:r>
        <w:rPr>
          <w:bCs/>
          <w:b/>
        </w:rPr>
        <w:t xml:space="preserve">Call 2 — Balance Sheet Report</w:t>
      </w:r>
      <w:r>
        <w:t xml:space="preserve"> </w:t>
      </w:r>
      <w:r>
        <w:t xml:space="preserve">Provides: Total Assets, Total Liabilities, Current Assets, Current Liabilities, Long-Term Debt, and Cash and Cash Equivalents. These feed the Leverage Ratio, Current Ratio, and Minimum Liquidity checks.</w:t>
      </w:r>
    </w:p>
    <w:p>
      <w:pPr>
        <w:pStyle w:val="BodyText"/>
      </w:pPr>
      <w:r>
        <w:rPr>
          <w:bCs/>
          <w:b/>
        </w:rPr>
        <w:t xml:space="preserve">Call 3 — Cash Flow Statement</w:t>
      </w:r>
      <w:r>
        <w:t xml:space="preserve"> </w:t>
      </w:r>
      <w:r>
        <w:t xml:space="preserve">Provides: Capital Expenditures and Principal Payments on Debt. These feed the Fixed Charge Coverage Ratio.</w:t>
      </w:r>
    </w:p>
    <w:p>
      <w:pPr>
        <w:pStyle w:val="BodyText"/>
      </w:pPr>
      <w:r>
        <w:t xml:space="preserve">QuickBooks Sandbox environment: Free, pre-populated with realistic financial data, available at developer.intuit.com. No real company data is needed for the demo.</w:t>
      </w:r>
    </w:p>
    <w:p>
      <w:r>
        <w:pict>
          <v:rect style="width:0;height:1.5pt" o:hralign="center" o:hrstd="t" o:hr="t"/>
        </w:pict>
      </w:r>
    </w:p>
    <w:p>
      <w:pPr>
        <w:pStyle w:val="FirstParagraph"/>
      </w:pPr>
      <w:r>
        <w:rPr>
          <w:iCs/>
          <w:i/>
        </w:rPr>
        <w:t xml:space="preserve">Document prepared May 2026. This is a feature specification for demo purposes. All technical implementation decisions are at the discretion of the development team.</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2026-05-30T15:14:18Z</dcterms:created>
  <dcterms:modified xsi:type="dcterms:W3CDTF">2026-05-30T15:14:18Z</dcterms:modified>
</cp:coreProperties>
</file>

<file path=docProps/custom.xml><?xml version="1.0" encoding="utf-8"?>
<Properties xmlns="http://schemas.openxmlformats.org/officeDocument/2006/custom-properties" xmlns:vt="http://schemas.openxmlformats.org/officeDocument/2006/docPropsVTypes"/>
</file>