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IMPLEMENTATION ROADMAP &amp;</w:t>
        <w:br/>
        <w:t>CODE STRUCTURE PLANNING</w:t>
      </w:r>
    </w:p>
    <w:p>
      <w:pPr>
        <w:jc w:val="center"/>
      </w:pPr>
      <w:r>
        <w:rPr>
          <w:i/>
        </w:rPr>
        <w:t>Week 3 Task | Hypothetical E-Commerce Platform</w:t>
      </w:r>
    </w:p>
    <w:p>
      <w:pPr>
        <w:pStyle w:val="Heading1"/>
      </w:pPr>
      <w:r>
        <w:t>1. Executive Summary</w:t>
      </w:r>
    </w:p>
    <w:p>
      <w:r>
        <w:t>This document defines an implementation roadmap and code structure for a hypothetical e-commerce platform. The proposed system enables customers to browse products, maintain a cart, place orders, and use a third-party payment provider. Administrators can maintain product information and review orders. The roadmap sets out the development sequence, modules and their responsibilities, coding practices, technology choices, integration points, testing activities, deployment steps, and potential roadblocks. The plan is intended to be practical for a small junior-development team and should be updated as requirements are validated.</w:t>
      </w:r>
    </w:p>
    <w:p>
      <w:pPr>
        <w:pStyle w:val="Heading1"/>
      </w:pPr>
      <w:r>
        <w:t>2. Project Overview and Scope</w:t>
      </w:r>
    </w:p>
    <w:p>
      <w:pPr>
        <w:pStyle w:val="Heading2"/>
      </w:pPr>
      <w:r>
        <w:t>2.1 Core objectives</w:t>
      </w:r>
    </w:p>
    <w:p>
      <w:pPr>
        <w:pStyle w:val="ListBullet"/>
      </w:pPr>
      <w:r>
        <w:t>Build a clear, maintainable minimum viable product (MVP) with a responsive user interface.</w:t>
      </w:r>
    </w:p>
    <w:p>
      <w:pPr>
        <w:pStyle w:val="ListBullet"/>
      </w:pPr>
      <w:r>
        <w:t>Separate user interface, business rules, persistence, and external integrations into understandable modules.</w:t>
      </w:r>
    </w:p>
    <w:p>
      <w:pPr>
        <w:pStyle w:val="ListBullet"/>
      </w:pPr>
      <w:r>
        <w:t>Create repeatable development and testing workflows using version control and continuous integration.</w:t>
      </w:r>
    </w:p>
    <w:p>
      <w:pPr>
        <w:pStyle w:val="ListBullet"/>
      </w:pPr>
      <w:r>
        <w:t>Protect accounts and order information through authentication, authorization, validation, and careful handling of secrets.</w:t>
      </w:r>
    </w:p>
    <w:p>
      <w:pPr>
        <w:pStyle w:val="ListBullet"/>
      </w:pPr>
      <w:r>
        <w:t>Deliver a tested release with setup instructions, technical documentation, and a rollback plan.</w:t>
      </w:r>
    </w:p>
    <w:p>
      <w:pPr>
        <w:pStyle w:val="Heading2"/>
      </w:pPr>
      <w:r>
        <w:t>2.2 Scope boundaries</w:t>
      </w:r>
    </w:p>
    <w:p>
      <w:r>
        <w:t>The first release includes registration/login, product catalogue and search, cart management, checkout, order history, basic product administration, and payment-provider sandbox integration. A multi-vendor marketplace, native mobile applications, loyalty rewards, recommendation algorithms, and complex international tax rules are outside the initial scope. Keeping these boundaries explicit reduces scope creep and makes milestone acceptance measurable.</w:t>
      </w:r>
    </w:p>
    <w:p>
      <w:pPr>
        <w:pStyle w:val="Heading1"/>
      </w:pPr>
      <w:r>
        <w:t>3. Recommended Technology Stack</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spacing w:after="20"/>
            </w:pPr>
            <w:r/>
            <w:r>
              <w:rPr>
                <w:b/>
                <w:sz w:val="17"/>
              </w:rPr>
              <w:t>Layer</w:t>
            </w:r>
          </w:p>
        </w:tc>
        <w:tc>
          <w:tcPr>
            <w:tcW w:type="dxa" w:w="3408"/>
            <w:vAlign w:val="center"/>
            <w:shd w:fill="D9EAF7"/>
          </w:tcPr>
          <w:p>
            <w:pPr>
              <w:spacing w:after="20"/>
            </w:pPr>
            <w:r/>
            <w:r>
              <w:rPr>
                <w:b/>
                <w:sz w:val="17"/>
              </w:rPr>
              <w:t>Recommended option</w:t>
            </w:r>
          </w:p>
        </w:tc>
        <w:tc>
          <w:tcPr>
            <w:tcW w:type="dxa" w:w="3408"/>
            <w:vAlign w:val="center"/>
            <w:shd w:fill="D9EAF7"/>
          </w:tcPr>
          <w:p>
            <w:pPr>
              <w:spacing w:after="20"/>
            </w:pPr>
            <w:r/>
            <w:r>
              <w:rPr>
                <w:b/>
                <w:sz w:val="17"/>
              </w:rPr>
              <w:t>Justification</w:t>
            </w:r>
          </w:p>
        </w:tc>
      </w:tr>
      <w:tr>
        <w:tc>
          <w:tcPr>
            <w:tcW w:type="dxa" w:w="3408"/>
            <w:vAlign w:val="center"/>
          </w:tcPr>
          <w:p>
            <w:pPr>
              <w:spacing w:after="20"/>
            </w:pPr>
            <w:r/>
            <w:r>
              <w:rPr>
                <w:b w:val="0"/>
                <w:sz w:val="17"/>
              </w:rPr>
              <w:t>Frontend</w:t>
            </w:r>
          </w:p>
        </w:tc>
        <w:tc>
          <w:tcPr>
            <w:tcW w:type="dxa" w:w="3408"/>
            <w:vAlign w:val="center"/>
          </w:tcPr>
          <w:p>
            <w:pPr>
              <w:spacing w:after="20"/>
            </w:pPr>
            <w:r/>
            <w:r>
              <w:rPr>
                <w:b w:val="0"/>
                <w:sz w:val="17"/>
              </w:rPr>
              <w:t>HTML/CSS/JavaScript or a component-based framework such as React</w:t>
            </w:r>
          </w:p>
        </w:tc>
        <w:tc>
          <w:tcPr>
            <w:tcW w:type="dxa" w:w="3408"/>
            <w:vAlign w:val="center"/>
          </w:tcPr>
          <w:p>
            <w:pPr>
              <w:spacing w:after="20"/>
            </w:pPr>
            <w:r/>
            <w:r>
              <w:rPr>
                <w:b w:val="0"/>
                <w:sz w:val="17"/>
              </w:rPr>
              <w:t>Reusable UI components and responsive user experiences; select based on team skills.</w:t>
            </w:r>
          </w:p>
        </w:tc>
      </w:tr>
      <w:tr>
        <w:tc>
          <w:tcPr>
            <w:tcW w:type="dxa" w:w="3408"/>
            <w:vAlign w:val="center"/>
          </w:tcPr>
          <w:p>
            <w:pPr>
              <w:spacing w:after="20"/>
            </w:pPr>
            <w:r/>
            <w:r>
              <w:rPr>
                <w:b w:val="0"/>
                <w:sz w:val="17"/>
              </w:rPr>
              <w:t>Backend</w:t>
            </w:r>
          </w:p>
        </w:tc>
        <w:tc>
          <w:tcPr>
            <w:tcW w:type="dxa" w:w="3408"/>
            <w:vAlign w:val="center"/>
          </w:tcPr>
          <w:p>
            <w:pPr>
              <w:spacing w:after="20"/>
            </w:pPr>
            <w:r/>
            <w:r>
              <w:rPr>
                <w:b w:val="0"/>
                <w:sz w:val="17"/>
              </w:rPr>
              <w:t>Python with FastAPI or Django</w:t>
            </w:r>
          </w:p>
        </w:tc>
        <w:tc>
          <w:tcPr>
            <w:tcW w:type="dxa" w:w="3408"/>
            <w:vAlign w:val="center"/>
          </w:tcPr>
          <w:p>
            <w:pPr>
              <w:spacing w:after="20"/>
            </w:pPr>
            <w:r/>
            <w:r>
              <w:rPr>
                <w:b w:val="0"/>
                <w:sz w:val="17"/>
              </w:rPr>
              <w:t>Python is readable for a learning project; FastAPI suits API-first designs, while Django provides more built-in application features.</w:t>
            </w:r>
          </w:p>
        </w:tc>
      </w:tr>
      <w:tr>
        <w:tc>
          <w:tcPr>
            <w:tcW w:type="dxa" w:w="3408"/>
            <w:vAlign w:val="center"/>
          </w:tcPr>
          <w:p>
            <w:pPr>
              <w:spacing w:after="20"/>
            </w:pPr>
            <w:r/>
            <w:r>
              <w:rPr>
                <w:b w:val="0"/>
                <w:sz w:val="17"/>
              </w:rPr>
              <w:t>Database</w:t>
            </w:r>
          </w:p>
        </w:tc>
        <w:tc>
          <w:tcPr>
            <w:tcW w:type="dxa" w:w="3408"/>
            <w:vAlign w:val="center"/>
          </w:tcPr>
          <w:p>
            <w:pPr>
              <w:spacing w:after="20"/>
            </w:pPr>
            <w:r/>
            <w:r>
              <w:rPr>
                <w:b w:val="0"/>
                <w:sz w:val="17"/>
              </w:rPr>
              <w:t>PostgreSQL</w:t>
            </w:r>
          </w:p>
        </w:tc>
        <w:tc>
          <w:tcPr>
            <w:tcW w:type="dxa" w:w="3408"/>
            <w:vAlign w:val="center"/>
          </w:tcPr>
          <w:p>
            <w:pPr>
              <w:spacing w:after="20"/>
            </w:pPr>
            <w:r/>
            <w:r>
              <w:rPr>
                <w:b w:val="0"/>
                <w:sz w:val="17"/>
              </w:rPr>
              <w:t>Relational constraints and transactions help preserve order and inventory consistency.</w:t>
            </w:r>
          </w:p>
        </w:tc>
      </w:tr>
      <w:tr>
        <w:tc>
          <w:tcPr>
            <w:tcW w:type="dxa" w:w="3408"/>
            <w:vAlign w:val="center"/>
          </w:tcPr>
          <w:p>
            <w:pPr>
              <w:spacing w:after="20"/>
            </w:pPr>
            <w:r/>
            <w:r>
              <w:rPr>
                <w:b w:val="0"/>
                <w:sz w:val="17"/>
              </w:rPr>
              <w:t>Testing</w:t>
            </w:r>
          </w:p>
        </w:tc>
        <w:tc>
          <w:tcPr>
            <w:tcW w:type="dxa" w:w="3408"/>
            <w:vAlign w:val="center"/>
          </w:tcPr>
          <w:p>
            <w:pPr>
              <w:spacing w:after="20"/>
            </w:pPr>
            <w:r/>
            <w:r>
              <w:rPr>
                <w:b w:val="0"/>
                <w:sz w:val="17"/>
              </w:rPr>
              <w:t>pytest plus API/client test tools</w:t>
            </w:r>
          </w:p>
        </w:tc>
        <w:tc>
          <w:tcPr>
            <w:tcW w:type="dxa" w:w="3408"/>
            <w:vAlign w:val="center"/>
          </w:tcPr>
          <w:p>
            <w:pPr>
              <w:spacing w:after="20"/>
            </w:pPr>
            <w:r/>
            <w:r>
              <w:rPr>
                <w:b w:val="0"/>
                <w:sz w:val="17"/>
              </w:rPr>
              <w:t>Automated, repeatable checks can run locally and in CI.</w:t>
            </w:r>
          </w:p>
        </w:tc>
      </w:tr>
      <w:tr>
        <w:tc>
          <w:tcPr>
            <w:tcW w:type="dxa" w:w="3408"/>
            <w:vAlign w:val="center"/>
          </w:tcPr>
          <w:p>
            <w:pPr>
              <w:spacing w:after="20"/>
            </w:pPr>
            <w:r/>
            <w:r>
              <w:rPr>
                <w:b w:val="0"/>
                <w:sz w:val="17"/>
              </w:rPr>
              <w:t>Version control</w:t>
            </w:r>
          </w:p>
        </w:tc>
        <w:tc>
          <w:tcPr>
            <w:tcW w:type="dxa" w:w="3408"/>
            <w:vAlign w:val="center"/>
          </w:tcPr>
          <w:p>
            <w:pPr>
              <w:spacing w:after="20"/>
            </w:pPr>
            <w:r/>
            <w:r>
              <w:rPr>
                <w:b w:val="0"/>
                <w:sz w:val="17"/>
              </w:rPr>
              <w:t>Git and a hosted repository</w:t>
            </w:r>
          </w:p>
        </w:tc>
        <w:tc>
          <w:tcPr>
            <w:tcW w:type="dxa" w:w="3408"/>
            <w:vAlign w:val="center"/>
          </w:tcPr>
          <w:p>
            <w:pPr>
              <w:spacing w:after="20"/>
            </w:pPr>
            <w:r/>
            <w:r>
              <w:rPr>
                <w:b w:val="0"/>
                <w:sz w:val="17"/>
              </w:rPr>
              <w:t>Provides reviewable changes, history, branches, and collaboration.</w:t>
            </w:r>
          </w:p>
        </w:tc>
      </w:tr>
      <w:tr>
        <w:tc>
          <w:tcPr>
            <w:tcW w:type="dxa" w:w="3408"/>
            <w:vAlign w:val="center"/>
          </w:tcPr>
          <w:p>
            <w:pPr>
              <w:spacing w:after="20"/>
            </w:pPr>
            <w:r/>
            <w:r>
              <w:rPr>
                <w:b w:val="0"/>
                <w:sz w:val="17"/>
              </w:rPr>
              <w:t>CI/CD</w:t>
            </w:r>
          </w:p>
        </w:tc>
        <w:tc>
          <w:tcPr>
            <w:tcW w:type="dxa" w:w="3408"/>
            <w:vAlign w:val="center"/>
          </w:tcPr>
          <w:p>
            <w:pPr>
              <w:spacing w:after="20"/>
            </w:pPr>
            <w:r/>
            <w:r>
              <w:rPr>
                <w:b w:val="0"/>
                <w:sz w:val="17"/>
              </w:rPr>
              <w:t>A repository-hosted pipeline</w:t>
            </w:r>
          </w:p>
        </w:tc>
        <w:tc>
          <w:tcPr>
            <w:tcW w:type="dxa" w:w="3408"/>
            <w:vAlign w:val="center"/>
          </w:tcPr>
          <w:p>
            <w:pPr>
              <w:spacing w:after="20"/>
            </w:pPr>
            <w:r/>
            <w:r>
              <w:rPr>
                <w:b w:val="0"/>
                <w:sz w:val="17"/>
              </w:rPr>
              <w:t>Runs formatting, tests, and build checks on each pull request.</w:t>
            </w:r>
          </w:p>
        </w:tc>
      </w:tr>
      <w:tr>
        <w:tc>
          <w:tcPr>
            <w:tcW w:type="dxa" w:w="3408"/>
            <w:vAlign w:val="center"/>
          </w:tcPr>
          <w:p>
            <w:pPr>
              <w:spacing w:after="20"/>
            </w:pPr>
            <w:r/>
            <w:r>
              <w:rPr>
                <w:b w:val="0"/>
                <w:sz w:val="17"/>
              </w:rPr>
              <w:t>Deployment</w:t>
            </w:r>
          </w:p>
        </w:tc>
        <w:tc>
          <w:tcPr>
            <w:tcW w:type="dxa" w:w="3408"/>
            <w:vAlign w:val="center"/>
          </w:tcPr>
          <w:p>
            <w:pPr>
              <w:spacing w:after="20"/>
            </w:pPr>
            <w:r/>
            <w:r>
              <w:rPr>
                <w:b w:val="0"/>
                <w:sz w:val="17"/>
              </w:rPr>
              <w:t>Managed cloud or container platform</w:t>
            </w:r>
          </w:p>
        </w:tc>
        <w:tc>
          <w:tcPr>
            <w:tcW w:type="dxa" w:w="3408"/>
            <w:vAlign w:val="center"/>
          </w:tcPr>
          <w:p>
            <w:pPr>
              <w:spacing w:after="20"/>
            </w:pPr>
            <w:r/>
            <w:r>
              <w:rPr>
                <w:b w:val="0"/>
                <w:sz w:val="17"/>
              </w:rPr>
              <w:t>Repeatable deployment, environment separation, and monitoring support.</w:t>
            </w:r>
          </w:p>
        </w:tc>
      </w:tr>
      <w:tr>
        <w:tc>
          <w:tcPr>
            <w:tcW w:type="dxa" w:w="3408"/>
            <w:vAlign w:val="center"/>
          </w:tcPr>
          <w:p>
            <w:pPr>
              <w:spacing w:after="20"/>
            </w:pPr>
            <w:r/>
            <w:r>
              <w:rPr>
                <w:b w:val="0"/>
                <w:sz w:val="17"/>
              </w:rPr>
              <w:t>Payment</w:t>
            </w:r>
          </w:p>
        </w:tc>
        <w:tc>
          <w:tcPr>
            <w:tcW w:type="dxa" w:w="3408"/>
            <w:vAlign w:val="center"/>
          </w:tcPr>
          <w:p>
            <w:pPr>
              <w:spacing w:after="20"/>
            </w:pPr>
            <w:r/>
            <w:r>
              <w:rPr>
                <w:b w:val="0"/>
                <w:sz w:val="17"/>
              </w:rPr>
              <w:t>A reputable external provider in sandbox mode</w:t>
            </w:r>
          </w:p>
        </w:tc>
        <w:tc>
          <w:tcPr>
            <w:tcW w:type="dxa" w:w="3408"/>
            <w:vAlign w:val="center"/>
          </w:tcPr>
          <w:p>
            <w:pPr>
              <w:spacing w:after="20"/>
            </w:pPr>
            <w:r/>
            <w:r>
              <w:rPr>
                <w:b w:val="0"/>
                <w:sz w:val="17"/>
              </w:rPr>
              <w:t>Reduces direct handling of payment data; never store raw card details in the application.</w:t>
            </w:r>
          </w:p>
        </w:tc>
      </w:tr>
    </w:tbl>
    <w:p>
      <w:r>
        <w:t>These are recommendations, not mandatory requirements. The final stack should reflect available hosting, team experience, organizational standards, and project constraints. Avoid adding technologies that do not solve a clear need.</w:t>
      </w:r>
    </w:p>
    <w:p>
      <w:pPr>
        <w:pStyle w:val="Heading1"/>
      </w:pPr>
      <w:r>
        <w:t>4. Implementation Roadmap and Timeline</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pPr>
              <w:spacing w:after="20"/>
            </w:pPr>
            <w:r/>
            <w:r>
              <w:rPr>
                <w:b/>
                <w:sz w:val="17"/>
              </w:rPr>
              <w:t>Phase</w:t>
            </w:r>
          </w:p>
        </w:tc>
        <w:tc>
          <w:tcPr>
            <w:tcW w:type="dxa" w:w="2556"/>
            <w:vAlign w:val="center"/>
            <w:shd w:fill="D9EAF7"/>
          </w:tcPr>
          <w:p>
            <w:pPr>
              <w:spacing w:after="20"/>
            </w:pPr>
            <w:r/>
            <w:r>
              <w:rPr>
                <w:b/>
                <w:sz w:val="17"/>
              </w:rPr>
              <w:t>Timeline</w:t>
            </w:r>
          </w:p>
        </w:tc>
        <w:tc>
          <w:tcPr>
            <w:tcW w:type="dxa" w:w="2556"/>
            <w:vAlign w:val="center"/>
            <w:shd w:fill="D9EAF7"/>
          </w:tcPr>
          <w:p>
            <w:pPr>
              <w:spacing w:after="20"/>
            </w:pPr>
            <w:r/>
            <w:r>
              <w:rPr>
                <w:b/>
                <w:sz w:val="17"/>
              </w:rPr>
              <w:t>Key activities</w:t>
            </w:r>
          </w:p>
        </w:tc>
        <w:tc>
          <w:tcPr>
            <w:tcW w:type="dxa" w:w="2556"/>
            <w:vAlign w:val="center"/>
            <w:shd w:fill="D9EAF7"/>
          </w:tcPr>
          <w:p>
            <w:pPr>
              <w:spacing w:after="20"/>
            </w:pPr>
            <w:r/>
            <w:r>
              <w:rPr>
                <w:b/>
                <w:sz w:val="17"/>
              </w:rPr>
              <w:t>Milestone</w:t>
            </w:r>
          </w:p>
        </w:tc>
      </w:tr>
      <w:tr>
        <w:tc>
          <w:tcPr>
            <w:tcW w:type="dxa" w:w="2556"/>
            <w:vAlign w:val="center"/>
          </w:tcPr>
          <w:p>
            <w:pPr>
              <w:spacing w:after="20"/>
            </w:pPr>
            <w:r/>
            <w:r>
              <w:rPr>
                <w:b w:val="0"/>
                <w:sz w:val="17"/>
              </w:rPr>
              <w:t>Phase 1 — Requirements and planning</w:t>
            </w:r>
          </w:p>
        </w:tc>
        <w:tc>
          <w:tcPr>
            <w:tcW w:type="dxa" w:w="2556"/>
            <w:vAlign w:val="center"/>
          </w:tcPr>
          <w:p>
            <w:pPr>
              <w:spacing w:after="20"/>
            </w:pPr>
            <w:r/>
            <w:r>
              <w:rPr>
                <w:b w:val="0"/>
                <w:sz w:val="17"/>
              </w:rPr>
              <w:t>Week 1</w:t>
            </w:r>
          </w:p>
        </w:tc>
        <w:tc>
          <w:tcPr>
            <w:tcW w:type="dxa" w:w="2556"/>
            <w:vAlign w:val="center"/>
          </w:tcPr>
          <w:p>
            <w:pPr>
              <w:spacing w:after="20"/>
            </w:pPr>
            <w:r/>
            <w:r>
              <w:rPr>
                <w:b w:val="0"/>
                <w:sz w:val="17"/>
              </w:rPr>
              <w:t>Define users, scope, user stories, acceptance criteria, dependencies, and initial risks.</w:t>
            </w:r>
          </w:p>
        </w:tc>
        <w:tc>
          <w:tcPr>
            <w:tcW w:type="dxa" w:w="2556"/>
            <w:vAlign w:val="center"/>
          </w:tcPr>
          <w:p>
            <w:pPr>
              <w:spacing w:after="20"/>
            </w:pPr>
            <w:r/>
            <w:r>
              <w:rPr>
                <w:b w:val="0"/>
                <w:sz w:val="17"/>
              </w:rPr>
              <w:t>Approved scope and prioritized backlog</w:t>
            </w:r>
          </w:p>
        </w:tc>
      </w:tr>
      <w:tr>
        <w:tc>
          <w:tcPr>
            <w:tcW w:type="dxa" w:w="2556"/>
            <w:vAlign w:val="center"/>
          </w:tcPr>
          <w:p>
            <w:pPr>
              <w:spacing w:after="20"/>
            </w:pPr>
            <w:r/>
            <w:r>
              <w:rPr>
                <w:b w:val="0"/>
                <w:sz w:val="17"/>
              </w:rPr>
              <w:t>Phase 2 — Architecture and code design</w:t>
            </w:r>
          </w:p>
        </w:tc>
        <w:tc>
          <w:tcPr>
            <w:tcW w:type="dxa" w:w="2556"/>
            <w:vAlign w:val="center"/>
          </w:tcPr>
          <w:p>
            <w:pPr>
              <w:spacing w:after="20"/>
            </w:pPr>
            <w:r/>
            <w:r>
              <w:rPr>
                <w:b w:val="0"/>
                <w:sz w:val="17"/>
              </w:rPr>
              <w:t>Week 2</w:t>
            </w:r>
          </w:p>
        </w:tc>
        <w:tc>
          <w:tcPr>
            <w:tcW w:type="dxa" w:w="2556"/>
            <w:vAlign w:val="center"/>
          </w:tcPr>
          <w:p>
            <w:pPr>
              <w:spacing w:after="20"/>
            </w:pPr>
            <w:r/>
            <w:r>
              <w:rPr>
                <w:b w:val="0"/>
                <w:sz w:val="17"/>
              </w:rPr>
              <w:t>Create component diagram, data model, API contracts, folder structure, and security plan.</w:t>
            </w:r>
          </w:p>
        </w:tc>
        <w:tc>
          <w:tcPr>
            <w:tcW w:type="dxa" w:w="2556"/>
            <w:vAlign w:val="center"/>
          </w:tcPr>
          <w:p>
            <w:pPr>
              <w:spacing w:after="20"/>
            </w:pPr>
            <w:r/>
            <w:r>
              <w:rPr>
                <w:b w:val="0"/>
                <w:sz w:val="17"/>
              </w:rPr>
              <w:t>Design review and module contracts approved</w:t>
            </w:r>
          </w:p>
        </w:tc>
      </w:tr>
      <w:tr>
        <w:tc>
          <w:tcPr>
            <w:tcW w:type="dxa" w:w="2556"/>
            <w:vAlign w:val="center"/>
          </w:tcPr>
          <w:p>
            <w:pPr>
              <w:spacing w:after="20"/>
            </w:pPr>
            <w:r/>
            <w:r>
              <w:rPr>
                <w:b w:val="0"/>
                <w:sz w:val="17"/>
              </w:rPr>
              <w:t>Phase 3 — Repository and foundation</w:t>
            </w:r>
          </w:p>
        </w:tc>
        <w:tc>
          <w:tcPr>
            <w:tcW w:type="dxa" w:w="2556"/>
            <w:vAlign w:val="center"/>
          </w:tcPr>
          <w:p>
            <w:pPr>
              <w:spacing w:after="20"/>
            </w:pPr>
            <w:r/>
            <w:r>
              <w:rPr>
                <w:b w:val="0"/>
                <w:sz w:val="17"/>
              </w:rPr>
              <w:t>Week 3</w:t>
            </w:r>
          </w:p>
        </w:tc>
        <w:tc>
          <w:tcPr>
            <w:tcW w:type="dxa" w:w="2556"/>
            <w:vAlign w:val="center"/>
          </w:tcPr>
          <w:p>
            <w:pPr>
              <w:spacing w:after="20"/>
            </w:pPr>
            <w:r/>
            <w:r>
              <w:rPr>
                <w:b w:val="0"/>
                <w:sz w:val="17"/>
              </w:rPr>
              <w:t>Set up repository, environment configuration, linting, test framework, CI pipeline, and database migrations.</w:t>
            </w:r>
          </w:p>
        </w:tc>
        <w:tc>
          <w:tcPr>
            <w:tcW w:type="dxa" w:w="2556"/>
            <w:vAlign w:val="center"/>
          </w:tcPr>
          <w:p>
            <w:pPr>
              <w:spacing w:after="20"/>
            </w:pPr>
            <w:r/>
            <w:r>
              <w:rPr>
                <w:b w:val="0"/>
                <w:sz w:val="17"/>
              </w:rPr>
              <w:t>Application skeleton and automated checks working</w:t>
            </w:r>
          </w:p>
        </w:tc>
      </w:tr>
      <w:tr>
        <w:tc>
          <w:tcPr>
            <w:tcW w:type="dxa" w:w="2556"/>
            <w:vAlign w:val="center"/>
          </w:tcPr>
          <w:p>
            <w:pPr>
              <w:spacing w:after="20"/>
            </w:pPr>
            <w:r/>
            <w:r>
              <w:rPr>
                <w:b w:val="0"/>
                <w:sz w:val="17"/>
              </w:rPr>
              <w:t>Phase 4 — Identity and catalogue</w:t>
            </w:r>
          </w:p>
        </w:tc>
        <w:tc>
          <w:tcPr>
            <w:tcW w:type="dxa" w:w="2556"/>
            <w:vAlign w:val="center"/>
          </w:tcPr>
          <w:p>
            <w:pPr>
              <w:spacing w:after="20"/>
            </w:pPr>
            <w:r/>
            <w:r>
              <w:rPr>
                <w:b w:val="0"/>
                <w:sz w:val="17"/>
              </w:rPr>
              <w:t>Weeks 4–5</w:t>
            </w:r>
          </w:p>
        </w:tc>
        <w:tc>
          <w:tcPr>
            <w:tcW w:type="dxa" w:w="2556"/>
            <w:vAlign w:val="center"/>
          </w:tcPr>
          <w:p>
            <w:pPr>
              <w:spacing w:after="20"/>
            </w:pPr>
            <w:r/>
            <w:r>
              <w:rPr>
                <w:b w:val="0"/>
                <w:sz w:val="17"/>
              </w:rPr>
              <w:t>Build registration/login, role checks, product listing/detail, search, and admin product operations.</w:t>
            </w:r>
          </w:p>
        </w:tc>
        <w:tc>
          <w:tcPr>
            <w:tcW w:type="dxa" w:w="2556"/>
            <w:vAlign w:val="center"/>
          </w:tcPr>
          <w:p>
            <w:pPr>
              <w:spacing w:after="20"/>
            </w:pPr>
            <w:r/>
            <w:r>
              <w:rPr>
                <w:b w:val="0"/>
                <w:sz w:val="17"/>
              </w:rPr>
              <w:t>Identity and catalogue demonstrated with tests</w:t>
            </w:r>
          </w:p>
        </w:tc>
      </w:tr>
      <w:tr>
        <w:tc>
          <w:tcPr>
            <w:tcW w:type="dxa" w:w="2556"/>
            <w:vAlign w:val="center"/>
          </w:tcPr>
          <w:p>
            <w:pPr>
              <w:spacing w:after="20"/>
            </w:pPr>
            <w:r/>
            <w:r>
              <w:rPr>
                <w:b w:val="0"/>
                <w:sz w:val="17"/>
              </w:rPr>
              <w:t>Phase 5 — Cart and orders</w:t>
            </w:r>
          </w:p>
        </w:tc>
        <w:tc>
          <w:tcPr>
            <w:tcW w:type="dxa" w:w="2556"/>
            <w:vAlign w:val="center"/>
          </w:tcPr>
          <w:p>
            <w:pPr>
              <w:spacing w:after="20"/>
            </w:pPr>
            <w:r/>
            <w:r>
              <w:rPr>
                <w:b w:val="0"/>
                <w:sz w:val="17"/>
              </w:rPr>
              <w:t>Weeks 6–7</w:t>
            </w:r>
          </w:p>
        </w:tc>
        <w:tc>
          <w:tcPr>
            <w:tcW w:type="dxa" w:w="2556"/>
            <w:vAlign w:val="center"/>
          </w:tcPr>
          <w:p>
            <w:pPr>
              <w:spacing w:after="20"/>
            </w:pPr>
            <w:r/>
            <w:r>
              <w:rPr>
                <w:b w:val="0"/>
                <w:sz w:val="17"/>
              </w:rPr>
              <w:t>Implement cart rules, stock validation, checkout, order creation, and order history.</w:t>
            </w:r>
          </w:p>
        </w:tc>
        <w:tc>
          <w:tcPr>
            <w:tcW w:type="dxa" w:w="2556"/>
            <w:vAlign w:val="center"/>
          </w:tcPr>
          <w:p>
            <w:pPr>
              <w:spacing w:after="20"/>
            </w:pPr>
            <w:r/>
            <w:r>
              <w:rPr>
                <w:b w:val="0"/>
                <w:sz w:val="17"/>
              </w:rPr>
              <w:t>End-to-end order flow works in test environment</w:t>
            </w:r>
          </w:p>
        </w:tc>
      </w:tr>
      <w:tr>
        <w:tc>
          <w:tcPr>
            <w:tcW w:type="dxa" w:w="2556"/>
            <w:vAlign w:val="center"/>
          </w:tcPr>
          <w:p>
            <w:pPr>
              <w:spacing w:after="20"/>
            </w:pPr>
            <w:r/>
            <w:r>
              <w:rPr>
                <w:b w:val="0"/>
                <w:sz w:val="17"/>
              </w:rPr>
              <w:t>Phase 6 — Payment integration</w:t>
            </w:r>
          </w:p>
        </w:tc>
        <w:tc>
          <w:tcPr>
            <w:tcW w:type="dxa" w:w="2556"/>
            <w:vAlign w:val="center"/>
          </w:tcPr>
          <w:p>
            <w:pPr>
              <w:spacing w:after="20"/>
            </w:pPr>
            <w:r/>
            <w:r>
              <w:rPr>
                <w:b w:val="0"/>
                <w:sz w:val="17"/>
              </w:rPr>
              <w:t>Week 8</w:t>
            </w:r>
          </w:p>
        </w:tc>
        <w:tc>
          <w:tcPr>
            <w:tcW w:type="dxa" w:w="2556"/>
            <w:vAlign w:val="center"/>
          </w:tcPr>
          <w:p>
            <w:pPr>
              <w:spacing w:after="20"/>
            </w:pPr>
            <w:r/>
            <w:r>
              <w:rPr>
                <w:b w:val="0"/>
                <w:sz w:val="17"/>
              </w:rPr>
              <w:t>Connect payment sandbox; handle success, decline, cancellation, callback verification, and safe retries.</w:t>
            </w:r>
          </w:p>
        </w:tc>
        <w:tc>
          <w:tcPr>
            <w:tcW w:type="dxa" w:w="2556"/>
            <w:vAlign w:val="center"/>
          </w:tcPr>
          <w:p>
            <w:pPr>
              <w:spacing w:after="20"/>
            </w:pPr>
            <w:r/>
            <w:r>
              <w:rPr>
                <w:b w:val="0"/>
                <w:sz w:val="17"/>
              </w:rPr>
              <w:t>Payment test scenarios pass</w:t>
            </w:r>
          </w:p>
        </w:tc>
      </w:tr>
      <w:tr>
        <w:tc>
          <w:tcPr>
            <w:tcW w:type="dxa" w:w="2556"/>
            <w:vAlign w:val="center"/>
          </w:tcPr>
          <w:p>
            <w:pPr>
              <w:spacing w:after="20"/>
            </w:pPr>
            <w:r/>
            <w:r>
              <w:rPr>
                <w:b w:val="0"/>
                <w:sz w:val="17"/>
              </w:rPr>
              <w:t>Phase 7 — Integration and hardening</w:t>
            </w:r>
          </w:p>
        </w:tc>
        <w:tc>
          <w:tcPr>
            <w:tcW w:type="dxa" w:w="2556"/>
            <w:vAlign w:val="center"/>
          </w:tcPr>
          <w:p>
            <w:pPr>
              <w:spacing w:after="20"/>
            </w:pPr>
            <w:r/>
            <w:r>
              <w:rPr>
                <w:b w:val="0"/>
                <w:sz w:val="17"/>
              </w:rPr>
              <w:t>Weeks 9–10</w:t>
            </w:r>
          </w:p>
        </w:tc>
        <w:tc>
          <w:tcPr>
            <w:tcW w:type="dxa" w:w="2556"/>
            <w:vAlign w:val="center"/>
          </w:tcPr>
          <w:p>
            <w:pPr>
              <w:spacing w:after="20"/>
            </w:pPr>
            <w:r/>
            <w:r>
              <w:rPr>
                <w:b w:val="0"/>
                <w:sz w:val="17"/>
              </w:rPr>
              <w:t>Run regression, security, performance, usability, and accessibility checks; fix defects.</w:t>
            </w:r>
          </w:p>
        </w:tc>
        <w:tc>
          <w:tcPr>
            <w:tcW w:type="dxa" w:w="2556"/>
            <w:vAlign w:val="center"/>
          </w:tcPr>
          <w:p>
            <w:pPr>
              <w:spacing w:after="20"/>
            </w:pPr>
            <w:r/>
            <w:r>
              <w:rPr>
                <w:b w:val="0"/>
                <w:sz w:val="17"/>
              </w:rPr>
              <w:t>Release candidate meets quality gates</w:t>
            </w:r>
          </w:p>
        </w:tc>
      </w:tr>
      <w:tr>
        <w:tc>
          <w:tcPr>
            <w:tcW w:type="dxa" w:w="2556"/>
            <w:vAlign w:val="center"/>
          </w:tcPr>
          <w:p>
            <w:pPr>
              <w:spacing w:after="20"/>
            </w:pPr>
            <w:r/>
            <w:r>
              <w:rPr>
                <w:b w:val="0"/>
                <w:sz w:val="17"/>
              </w:rPr>
              <w:t>Phase 8 — Acceptance and deployment</w:t>
            </w:r>
          </w:p>
        </w:tc>
        <w:tc>
          <w:tcPr>
            <w:tcW w:type="dxa" w:w="2556"/>
            <w:vAlign w:val="center"/>
          </w:tcPr>
          <w:p>
            <w:pPr>
              <w:spacing w:after="20"/>
            </w:pPr>
            <w:r/>
            <w:r>
              <w:rPr>
                <w:b w:val="0"/>
                <w:sz w:val="17"/>
              </w:rPr>
              <w:t>Week 11</w:t>
            </w:r>
          </w:p>
        </w:tc>
        <w:tc>
          <w:tcPr>
            <w:tcW w:type="dxa" w:w="2556"/>
            <w:vAlign w:val="center"/>
          </w:tcPr>
          <w:p>
            <w:pPr>
              <w:spacing w:after="20"/>
            </w:pPr>
            <w:r/>
            <w:r>
              <w:rPr>
                <w:b w:val="0"/>
                <w:sz w:val="17"/>
              </w:rPr>
              <w:t>Run user acceptance testing in staging, check monitoring and backups, rehearse rollback.</w:t>
            </w:r>
          </w:p>
        </w:tc>
        <w:tc>
          <w:tcPr>
            <w:tcW w:type="dxa" w:w="2556"/>
            <w:vAlign w:val="center"/>
          </w:tcPr>
          <w:p>
            <w:pPr>
              <w:spacing w:after="20"/>
            </w:pPr>
            <w:r/>
            <w:r>
              <w:rPr>
                <w:b w:val="0"/>
                <w:sz w:val="17"/>
              </w:rPr>
              <w:t>Go/no-go decision and acceptance recorded</w:t>
            </w:r>
          </w:p>
        </w:tc>
      </w:tr>
      <w:tr>
        <w:tc>
          <w:tcPr>
            <w:tcW w:type="dxa" w:w="2556"/>
            <w:vAlign w:val="center"/>
          </w:tcPr>
          <w:p>
            <w:pPr>
              <w:spacing w:after="20"/>
            </w:pPr>
            <w:r/>
            <w:r>
              <w:rPr>
                <w:b w:val="0"/>
                <w:sz w:val="17"/>
              </w:rPr>
              <w:t>Phase 9 — Release and review</w:t>
            </w:r>
          </w:p>
        </w:tc>
        <w:tc>
          <w:tcPr>
            <w:tcW w:type="dxa" w:w="2556"/>
            <w:vAlign w:val="center"/>
          </w:tcPr>
          <w:p>
            <w:pPr>
              <w:spacing w:after="20"/>
            </w:pPr>
            <w:r/>
            <w:r>
              <w:rPr>
                <w:b w:val="0"/>
                <w:sz w:val="17"/>
              </w:rPr>
              <w:t>Week 12</w:t>
            </w:r>
          </w:p>
        </w:tc>
        <w:tc>
          <w:tcPr>
            <w:tcW w:type="dxa" w:w="2556"/>
            <w:vAlign w:val="center"/>
          </w:tcPr>
          <w:p>
            <w:pPr>
              <w:spacing w:after="20"/>
            </w:pPr>
            <w:r/>
            <w:r>
              <w:rPr>
                <w:b w:val="0"/>
                <w:sz w:val="17"/>
              </w:rPr>
              <w:t>Deploy, monitor, document known issues, gather feedback, and plan next iteration.</w:t>
            </w:r>
          </w:p>
        </w:tc>
        <w:tc>
          <w:tcPr>
            <w:tcW w:type="dxa" w:w="2556"/>
            <w:vAlign w:val="center"/>
          </w:tcPr>
          <w:p>
            <w:pPr>
              <w:spacing w:after="20"/>
            </w:pPr>
            <w:r/>
            <w:r>
              <w:rPr>
                <w:b w:val="0"/>
                <w:sz w:val="17"/>
              </w:rPr>
              <w:t>Release completed and retrospective actions recorded</w:t>
            </w:r>
          </w:p>
        </w:tc>
      </w:tr>
    </w:tbl>
    <w:p>
      <w:pPr>
        <w:pStyle w:val="Heading1"/>
      </w:pPr>
      <w:r>
        <w:t>5. Proposed Code Structure</w:t>
      </w:r>
    </w:p>
    <w:p>
      <w:r>
        <w:t>A modular monolith is recommended for the first release: one deployable backend organized into clear modules. This avoids the operational complexity of microservices while keeping responsibilities separated. If the product later grows substantially, modules can be extracted behind stable interfaces.</w:t>
      </w:r>
    </w:p>
    <w:p>
      <w:r>
        <w:rPr>
          <w:rFonts w:ascii="Consolas" w:hAnsi="Consolas"/>
          <w:sz w:val="17"/>
        </w:rPr>
        <w:t>ecommerce_app/</w:t>
        <w:br/>
        <w:t>├── app/</w:t>
        <w:br/>
        <w:t>│   ├── main.py                 # Application entry point and route registration</w:t>
        <w:br/>
        <w:t>│   ├── config.py               # Environment-based configuration</w:t>
        <w:br/>
        <w:t>│   ├── api/</w:t>
        <w:br/>
        <w:t>│   │   ├── auth_routes.py      # Registration, login, session/token endpoints</w:t>
        <w:br/>
        <w:t>│   │   ├── product_routes.py   # Product listing, detail, search</w:t>
        <w:br/>
        <w:t>│   │   ├── cart_routes.py      # Cart operations</w:t>
        <w:br/>
        <w:t>│   │   └── order_routes.py     # Checkout and order history</w:t>
        <w:br/>
        <w:t>│   ├── models/                 # User, Product, Cart, Order data models</w:t>
        <w:br/>
        <w:t>│   ├── schemas/                # Request/response validation schemas</w:t>
        <w:br/>
        <w:t>│   ├── services/</w:t>
        <w:br/>
        <w:t>│   │   ├── auth_service.py     # Authentication and authorization rules</w:t>
        <w:br/>
        <w:t>│   │   ├── catalog_service.py  # Product and inventory business logic</w:t>
        <w:br/>
        <w:t>│   │   ├── cart_service.py     # Cart calculations and validation</w:t>
        <w:br/>
        <w:t>│   │   ├── order_service.py    # Order creation and state transitions</w:t>
        <w:br/>
        <w:t>│   │   └── payment_service.py  # Payment-provider adapter and callbacks</w:t>
        <w:br/>
        <w:t>│   ├── repositories/           # Database queries and persistence operations</w:t>
        <w:br/>
        <w:t>│   └── common/                 # Exceptions, logging, shared utilities</w:t>
        <w:br/>
        <w:t>├── migrations/                  # Versioned database schema changes</w:t>
        <w:br/>
        <w:t>├── tests/</w:t>
        <w:br/>
        <w:t>│   ├── unit/                   # Isolated business-rule tests</w:t>
        <w:br/>
        <w:t>│   ├── integration/             # Database and external adapter tests</w:t>
        <w:br/>
        <w:t>│   └── api/                    # Endpoint and contract tests</w:t>
        <w:br/>
        <w:t>├── docs/                        # Architecture, setup, API, and release notes</w:t>
        <w:br/>
        <w:t>├── .env.example                 # Safe example configuration; no real secrets</w:t>
        <w:br/>
        <w:t>├── requirements.txt             # Python dependencies</w:t>
        <w:br/>
        <w:t>└── README.md                    # Setup, run, test, and contribution instructions</w:t>
      </w:r>
    </w:p>
    <w:p>
      <w:pPr>
        <w:pStyle w:val="Heading1"/>
      </w:pPr>
      <w:r>
        <w:t>6. Module Responsibilities and Interactions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20"/>
            </w:pPr>
            <w:r/>
            <w:r>
              <w:rPr>
                <w:b/>
                <w:sz w:val="17"/>
              </w:rPr>
              <w:t>Module</w:t>
            </w:r>
          </w:p>
        </w:tc>
        <w:tc>
          <w:tcPr>
            <w:tcW w:type="dxa" w:w="5112"/>
            <w:vAlign w:val="center"/>
            <w:shd w:fill="D9EAF7"/>
          </w:tcPr>
          <w:p>
            <w:pPr>
              <w:spacing w:after="20"/>
            </w:pPr>
            <w:r/>
            <w:r>
              <w:rPr>
                <w:b/>
                <w:sz w:val="17"/>
              </w:rPr>
              <w:t>Responsibility</w:t>
            </w:r>
          </w:p>
        </w:tc>
      </w:tr>
      <w:tr>
        <w:tc>
          <w:tcPr>
            <w:tcW w:type="dxa" w:w="5112"/>
            <w:vAlign w:val="center"/>
          </w:tcPr>
          <w:p>
            <w:pPr>
              <w:spacing w:after="20"/>
            </w:pPr>
            <w:r/>
            <w:r>
              <w:rPr>
                <w:b w:val="0"/>
                <w:sz w:val="17"/>
              </w:rPr>
              <w:t>API/routes</w:t>
            </w:r>
          </w:p>
        </w:tc>
        <w:tc>
          <w:tcPr>
            <w:tcW w:type="dxa" w:w="5112"/>
            <w:vAlign w:val="center"/>
          </w:tcPr>
          <w:p>
            <w:pPr>
              <w:spacing w:after="20"/>
            </w:pPr>
            <w:r/>
            <w:r>
              <w:rPr>
                <w:b w:val="0"/>
                <w:sz w:val="17"/>
              </w:rPr>
              <w:t>Accept HTTP requests, validate incoming data, invoke services, and return consistent responses. Routes should not contain complex business rules.</w:t>
            </w:r>
          </w:p>
        </w:tc>
      </w:tr>
      <w:tr>
        <w:tc>
          <w:tcPr>
            <w:tcW w:type="dxa" w:w="5112"/>
            <w:vAlign w:val="center"/>
          </w:tcPr>
          <w:p>
            <w:pPr>
              <w:spacing w:after="20"/>
            </w:pPr>
            <w:r/>
            <w:r>
              <w:rPr>
                <w:b w:val="0"/>
                <w:sz w:val="17"/>
              </w:rPr>
              <w:t>Schemas</w:t>
            </w:r>
          </w:p>
        </w:tc>
        <w:tc>
          <w:tcPr>
            <w:tcW w:type="dxa" w:w="5112"/>
            <w:vAlign w:val="center"/>
          </w:tcPr>
          <w:p>
            <w:pPr>
              <w:spacing w:after="20"/>
            </w:pPr>
            <w:r/>
            <w:r>
              <w:rPr>
                <w:b w:val="0"/>
                <w:sz w:val="17"/>
              </w:rPr>
              <w:t>Define and validate request and response shapes, required fields, formats, and safe error messages.</w:t>
            </w:r>
          </w:p>
        </w:tc>
      </w:tr>
      <w:tr>
        <w:tc>
          <w:tcPr>
            <w:tcW w:type="dxa" w:w="5112"/>
            <w:vAlign w:val="center"/>
          </w:tcPr>
          <w:p>
            <w:pPr>
              <w:spacing w:after="20"/>
            </w:pPr>
            <w:r/>
            <w:r>
              <w:rPr>
                <w:b w:val="0"/>
                <w:sz w:val="17"/>
              </w:rPr>
              <w:t>Services</w:t>
            </w:r>
          </w:p>
        </w:tc>
        <w:tc>
          <w:tcPr>
            <w:tcW w:type="dxa" w:w="5112"/>
            <w:vAlign w:val="center"/>
          </w:tcPr>
          <w:p>
            <w:pPr>
              <w:spacing w:after="20"/>
            </w:pPr>
            <w:r/>
            <w:r>
              <w:rPr>
                <w:b w:val="0"/>
                <w:sz w:val="17"/>
              </w:rPr>
              <w:t>Implement business use cases such as calculating cart totals, checking stock, creating orders, and enforcing order-state rules.</w:t>
            </w:r>
          </w:p>
        </w:tc>
      </w:tr>
      <w:tr>
        <w:tc>
          <w:tcPr>
            <w:tcW w:type="dxa" w:w="5112"/>
            <w:vAlign w:val="center"/>
          </w:tcPr>
          <w:p>
            <w:pPr>
              <w:spacing w:after="20"/>
            </w:pPr>
            <w:r/>
            <w:r>
              <w:rPr>
                <w:b w:val="0"/>
                <w:sz w:val="17"/>
              </w:rPr>
              <w:t>Models</w:t>
            </w:r>
          </w:p>
        </w:tc>
        <w:tc>
          <w:tcPr>
            <w:tcW w:type="dxa" w:w="5112"/>
            <w:vAlign w:val="center"/>
          </w:tcPr>
          <w:p>
            <w:pPr>
              <w:spacing w:after="20"/>
            </w:pPr>
            <w:r/>
            <w:r>
              <w:rPr>
                <w:b w:val="0"/>
                <w:sz w:val="17"/>
              </w:rPr>
              <w:t>Represent persistent entities and their relationships, including users, products, inventory, carts, and orders.</w:t>
            </w:r>
          </w:p>
        </w:tc>
      </w:tr>
      <w:tr>
        <w:tc>
          <w:tcPr>
            <w:tcW w:type="dxa" w:w="5112"/>
            <w:vAlign w:val="center"/>
          </w:tcPr>
          <w:p>
            <w:pPr>
              <w:spacing w:after="20"/>
            </w:pPr>
            <w:r/>
            <w:r>
              <w:rPr>
                <w:b w:val="0"/>
                <w:sz w:val="17"/>
              </w:rPr>
              <w:t>Repositories</w:t>
            </w:r>
          </w:p>
        </w:tc>
        <w:tc>
          <w:tcPr>
            <w:tcW w:type="dxa" w:w="5112"/>
            <w:vAlign w:val="center"/>
          </w:tcPr>
          <w:p>
            <w:pPr>
              <w:spacing w:after="20"/>
            </w:pPr>
            <w:r/>
            <w:r>
              <w:rPr>
                <w:b w:val="0"/>
                <w:sz w:val="17"/>
              </w:rPr>
              <w:t>Encapsulate database reads and writes so business services are not tightly coupled to query details.</w:t>
            </w:r>
          </w:p>
        </w:tc>
      </w:tr>
      <w:tr>
        <w:tc>
          <w:tcPr>
            <w:tcW w:type="dxa" w:w="5112"/>
            <w:vAlign w:val="center"/>
          </w:tcPr>
          <w:p>
            <w:pPr>
              <w:spacing w:after="20"/>
            </w:pPr>
            <w:r/>
            <w:r>
              <w:rPr>
                <w:b w:val="0"/>
                <w:sz w:val="17"/>
              </w:rPr>
              <w:t>Payment adapter</w:t>
            </w:r>
          </w:p>
        </w:tc>
        <w:tc>
          <w:tcPr>
            <w:tcW w:type="dxa" w:w="5112"/>
            <w:vAlign w:val="center"/>
          </w:tcPr>
          <w:p>
            <w:pPr>
              <w:spacing w:after="20"/>
            </w:pPr>
            <w:r/>
            <w:r>
              <w:rPr>
                <w:b w:val="0"/>
                <w:sz w:val="17"/>
              </w:rPr>
              <w:t>Translate application payment requests to the provider API, verify callbacks, and map provider statuses to internal states.</w:t>
            </w:r>
          </w:p>
        </w:tc>
      </w:tr>
      <w:tr>
        <w:tc>
          <w:tcPr>
            <w:tcW w:type="dxa" w:w="5112"/>
            <w:vAlign w:val="center"/>
          </w:tcPr>
          <w:p>
            <w:pPr>
              <w:spacing w:after="20"/>
            </w:pPr>
            <w:r/>
            <w:r>
              <w:rPr>
                <w:b w:val="0"/>
                <w:sz w:val="17"/>
              </w:rPr>
              <w:t>Common utilities</w:t>
            </w:r>
          </w:p>
        </w:tc>
        <w:tc>
          <w:tcPr>
            <w:tcW w:type="dxa" w:w="5112"/>
            <w:vAlign w:val="center"/>
          </w:tcPr>
          <w:p>
            <w:pPr>
              <w:spacing w:after="20"/>
            </w:pPr>
            <w:r/>
            <w:r>
              <w:rPr>
                <w:b w:val="0"/>
                <w:sz w:val="17"/>
              </w:rPr>
              <w:t>Provide shared logging, error types, time handling, and configuration access without becoming a dumping ground for unrelated logic.</w:t>
            </w:r>
          </w:p>
        </w:tc>
      </w:tr>
    </w:tbl>
    <w:p>
      <w:pPr>
        <w:pStyle w:val="Heading2"/>
      </w:pPr>
      <w:r>
        <w:t>6.1 Example request flow</w:t>
      </w:r>
    </w:p>
    <w:p>
      <w:pPr>
        <w:pStyle w:val="ListNumber"/>
      </w:pPr>
      <w:r>
        <w:t>A customer selects a product in the frontend and submits an add-to-cart request.</w:t>
      </w:r>
    </w:p>
    <w:p>
      <w:pPr>
        <w:pStyle w:val="ListNumber"/>
      </w:pPr>
      <w:r>
        <w:t>The cart API validates the request schema and confirms the user identity.</w:t>
      </w:r>
    </w:p>
    <w:p>
      <w:pPr>
        <w:pStyle w:val="ListNumber"/>
      </w:pPr>
      <w:r>
        <w:t>The cart service checks product availability and calculates the cart state using trusted server-side prices.</w:t>
      </w:r>
    </w:p>
    <w:p>
      <w:pPr>
        <w:pStyle w:val="ListNumber"/>
      </w:pPr>
      <w:r>
        <w:t>The repository persists the cart change; the API returns a validated response schema.</w:t>
      </w:r>
    </w:p>
    <w:p>
      <w:pPr>
        <w:pStyle w:val="ListNumber"/>
      </w:pPr>
      <w:r>
        <w:t>During checkout, the order service rechecks stock and totals, creates an order in a consistent state, and calls the payment adapter.</w:t>
      </w:r>
    </w:p>
    <w:p>
      <w:pPr>
        <w:pStyle w:val="ListNumber"/>
      </w:pPr>
      <w:r>
        <w:t>The payment adapter communicates with the provider sandbox. Verified callbacks update the order status; errors are logged without exposing secrets.</w:t>
      </w:r>
    </w:p>
    <w:p>
      <w:r>
        <w:t>The frontend must not be trusted to supply final prices or authorize access to another user's cart/order. Sensitive operations require server-side validation and authorization.</w:t>
      </w:r>
    </w:p>
    <w:p>
      <w:pPr>
        <w:pStyle w:val="Heading1"/>
      </w:pPr>
      <w:r>
        <w:t>7. Coding Practices and Design Patterns</w:t>
      </w:r>
    </w:p>
    <w:p>
      <w:pPr>
        <w:pStyle w:val="ListBullet"/>
      </w:pPr>
      <w:r>
        <w:t>Single Responsibility Principle: each module or class should have one clear reason to change.</w:t>
      </w:r>
    </w:p>
    <w:p>
      <w:pPr>
        <w:pStyle w:val="ListBullet"/>
      </w:pPr>
      <w:r>
        <w:t>Dependency injection: pass repositories and provider clients into services where practical, making components easier to test.</w:t>
      </w:r>
    </w:p>
    <w:p>
      <w:pPr>
        <w:pStyle w:val="ListBullet"/>
      </w:pPr>
      <w:r>
        <w:t>Repository pattern: isolate persistence details from business logic; avoid creating unnecessary abstraction layers for trivial operations.</w:t>
      </w:r>
    </w:p>
    <w:p>
      <w:pPr>
        <w:pStyle w:val="ListBullet"/>
      </w:pPr>
      <w:r>
        <w:t>Adapter pattern: wrap the payment provider behind a small interface so provider-specific details do not spread throughout the codebase.</w:t>
      </w:r>
    </w:p>
    <w:p>
      <w:pPr>
        <w:pStyle w:val="ListBullet"/>
      </w:pPr>
      <w:r>
        <w:t>Service layer: keep business rules out of HTTP route handlers and presentation components.</w:t>
      </w:r>
    </w:p>
    <w:p>
      <w:pPr>
        <w:pStyle w:val="ListBullet"/>
      </w:pPr>
      <w:r>
        <w:t>Consistent style: use meaningful names, small functions, type hints where helpful, formatting/linting, and clear error handling.</w:t>
      </w:r>
    </w:p>
    <w:p>
      <w:pPr>
        <w:pStyle w:val="ListBullet"/>
      </w:pPr>
      <w:r>
        <w:t>Secure configuration: read secrets from environment or a secret manager; commit only a placeholder .env.example file.</w:t>
      </w:r>
    </w:p>
    <w:p>
      <w:pPr>
        <w:pStyle w:val="ListBullet"/>
      </w:pPr>
      <w:r>
        <w:t>Code review: use short-lived feature branches and pull requests; require tests and review before merging.</w:t>
      </w:r>
    </w:p>
    <w:p>
      <w:pPr>
        <w:pStyle w:val="ListBullet"/>
      </w:pPr>
      <w:r>
        <w:t>Documentation: keep README setup instructions, architecture decisions, API contracts, migration notes, and release procedures current.</w:t>
      </w:r>
    </w:p>
    <w:p>
      <w:pPr>
        <w:pStyle w:val="ListBullet"/>
      </w:pPr>
      <w:r>
        <w:t>Avoid premature complexity: start with a modular monolith and introduce microservices only when a real scaling or ownership need justifies them.</w:t>
      </w:r>
    </w:p>
    <w:p>
      <w:pPr>
        <w:pStyle w:val="Heading1"/>
      </w:pPr>
      <w:r>
        <w:t>8. Testing and Integration Plan</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spacing w:after="20"/>
            </w:pPr>
            <w:r/>
            <w:r>
              <w:rPr>
                <w:b/>
                <w:sz w:val="17"/>
              </w:rPr>
              <w:t>Test level</w:t>
            </w:r>
          </w:p>
        </w:tc>
        <w:tc>
          <w:tcPr>
            <w:tcW w:type="dxa" w:w="5112"/>
            <w:vAlign w:val="center"/>
            <w:shd w:fill="D9EAF7"/>
          </w:tcPr>
          <w:p>
            <w:pPr>
              <w:spacing w:after="20"/>
            </w:pPr>
            <w:r/>
            <w:r>
              <w:rPr>
                <w:b/>
                <w:sz w:val="17"/>
              </w:rPr>
              <w:t>Coverage / purpose</w:t>
            </w:r>
          </w:p>
        </w:tc>
      </w:tr>
      <w:tr>
        <w:tc>
          <w:tcPr>
            <w:tcW w:type="dxa" w:w="5112"/>
            <w:vAlign w:val="center"/>
          </w:tcPr>
          <w:p>
            <w:pPr>
              <w:spacing w:after="20"/>
            </w:pPr>
            <w:r/>
            <w:r>
              <w:rPr>
                <w:b w:val="0"/>
                <w:sz w:val="17"/>
              </w:rPr>
              <w:t>Unit tests</w:t>
            </w:r>
          </w:p>
        </w:tc>
        <w:tc>
          <w:tcPr>
            <w:tcW w:type="dxa" w:w="5112"/>
            <w:vAlign w:val="center"/>
          </w:tcPr>
          <w:p>
            <w:pPr>
              <w:spacing w:after="20"/>
            </w:pPr>
            <w:r/>
            <w:r>
              <w:rPr>
                <w:b w:val="0"/>
                <w:sz w:val="17"/>
              </w:rPr>
              <w:t>Test cart totals, pricing, stock rules, access rules, and order-state transitions in isolation.</w:t>
            </w:r>
          </w:p>
        </w:tc>
      </w:tr>
      <w:tr>
        <w:tc>
          <w:tcPr>
            <w:tcW w:type="dxa" w:w="5112"/>
            <w:vAlign w:val="center"/>
          </w:tcPr>
          <w:p>
            <w:pPr>
              <w:spacing w:after="20"/>
            </w:pPr>
            <w:r/>
            <w:r>
              <w:rPr>
                <w:b w:val="0"/>
                <w:sz w:val="17"/>
              </w:rPr>
              <w:t>API/contract tests</w:t>
            </w:r>
          </w:p>
        </w:tc>
        <w:tc>
          <w:tcPr>
            <w:tcW w:type="dxa" w:w="5112"/>
            <w:vAlign w:val="center"/>
          </w:tcPr>
          <w:p>
            <w:pPr>
              <w:spacing w:after="20"/>
            </w:pPr>
            <w:r/>
            <w:r>
              <w:rPr>
                <w:b w:val="0"/>
                <w:sz w:val="17"/>
              </w:rPr>
              <w:t>Check request validation, response formats, status codes, authorization, and API compatibility.</w:t>
            </w:r>
          </w:p>
        </w:tc>
      </w:tr>
      <w:tr>
        <w:tc>
          <w:tcPr>
            <w:tcW w:type="dxa" w:w="5112"/>
            <w:vAlign w:val="center"/>
          </w:tcPr>
          <w:p>
            <w:pPr>
              <w:spacing w:after="20"/>
            </w:pPr>
            <w:r/>
            <w:r>
              <w:rPr>
                <w:b w:val="0"/>
                <w:sz w:val="17"/>
              </w:rPr>
              <w:t>Integration tests</w:t>
            </w:r>
          </w:p>
        </w:tc>
        <w:tc>
          <w:tcPr>
            <w:tcW w:type="dxa" w:w="5112"/>
            <w:vAlign w:val="center"/>
          </w:tcPr>
          <w:p>
            <w:pPr>
              <w:spacing w:after="20"/>
            </w:pPr>
            <w:r/>
            <w:r>
              <w:rPr>
                <w:b w:val="0"/>
                <w:sz w:val="17"/>
              </w:rPr>
              <w:t>Verify repositories, database transactions, migrations, and payment adapter behavior using sandbox or mock clients.</w:t>
            </w:r>
          </w:p>
        </w:tc>
      </w:tr>
      <w:tr>
        <w:tc>
          <w:tcPr>
            <w:tcW w:type="dxa" w:w="5112"/>
            <w:vAlign w:val="center"/>
          </w:tcPr>
          <w:p>
            <w:pPr>
              <w:spacing w:after="20"/>
            </w:pPr>
            <w:r/>
            <w:r>
              <w:rPr>
                <w:b w:val="0"/>
                <w:sz w:val="17"/>
              </w:rPr>
              <w:t>End-to-end tests</w:t>
            </w:r>
          </w:p>
        </w:tc>
        <w:tc>
          <w:tcPr>
            <w:tcW w:type="dxa" w:w="5112"/>
            <w:vAlign w:val="center"/>
          </w:tcPr>
          <w:p>
            <w:pPr>
              <w:spacing w:after="20"/>
            </w:pPr>
            <w:r/>
            <w:r>
              <w:rPr>
                <w:b w:val="0"/>
                <w:sz w:val="17"/>
              </w:rPr>
              <w:t>Exercise login, browse, cart, checkout, payment success/failure, and order history.</w:t>
            </w:r>
          </w:p>
        </w:tc>
      </w:tr>
      <w:tr>
        <w:tc>
          <w:tcPr>
            <w:tcW w:type="dxa" w:w="5112"/>
            <w:vAlign w:val="center"/>
          </w:tcPr>
          <w:p>
            <w:pPr>
              <w:spacing w:after="20"/>
            </w:pPr>
            <w:r/>
            <w:r>
              <w:rPr>
                <w:b w:val="0"/>
                <w:sz w:val="17"/>
              </w:rPr>
              <w:t>Security checks</w:t>
            </w:r>
          </w:p>
        </w:tc>
        <w:tc>
          <w:tcPr>
            <w:tcW w:type="dxa" w:w="5112"/>
            <w:vAlign w:val="center"/>
          </w:tcPr>
          <w:p>
            <w:pPr>
              <w:spacing w:after="20"/>
            </w:pPr>
            <w:r/>
            <w:r>
              <w:rPr>
                <w:b w:val="0"/>
                <w:sz w:val="17"/>
              </w:rPr>
              <w:t>Review authentication, authorization, injection risks, dependency vulnerabilities, secret exposure, and callback verification.</w:t>
            </w:r>
          </w:p>
        </w:tc>
      </w:tr>
      <w:tr>
        <w:tc>
          <w:tcPr>
            <w:tcW w:type="dxa" w:w="5112"/>
            <w:vAlign w:val="center"/>
          </w:tcPr>
          <w:p>
            <w:pPr>
              <w:spacing w:after="20"/>
            </w:pPr>
            <w:r/>
            <w:r>
              <w:rPr>
                <w:b w:val="0"/>
                <w:sz w:val="17"/>
              </w:rPr>
              <w:t>Performance/usability</w:t>
            </w:r>
          </w:p>
        </w:tc>
        <w:tc>
          <w:tcPr>
            <w:tcW w:type="dxa" w:w="5112"/>
            <w:vAlign w:val="center"/>
          </w:tcPr>
          <w:p>
            <w:pPr>
              <w:spacing w:after="20"/>
            </w:pPr>
            <w:r/>
            <w:r>
              <w:rPr>
                <w:b w:val="0"/>
                <w:sz w:val="17"/>
              </w:rPr>
              <w:t>Measure representative request latency and check responsive layouts, keyboard navigation, labels, and useful error messages.</w:t>
            </w:r>
          </w:p>
        </w:tc>
      </w:tr>
      <w:tr>
        <w:tc>
          <w:tcPr>
            <w:tcW w:type="dxa" w:w="5112"/>
            <w:vAlign w:val="center"/>
          </w:tcPr>
          <w:p>
            <w:pPr>
              <w:spacing w:after="20"/>
            </w:pPr>
            <w:r/>
            <w:r>
              <w:rPr>
                <w:b w:val="0"/>
                <w:sz w:val="17"/>
              </w:rPr>
              <w:t>Acceptance testing</w:t>
            </w:r>
          </w:p>
        </w:tc>
        <w:tc>
          <w:tcPr>
            <w:tcW w:type="dxa" w:w="5112"/>
            <w:vAlign w:val="center"/>
          </w:tcPr>
          <w:p>
            <w:pPr>
              <w:spacing w:after="20"/>
            </w:pPr>
            <w:r/>
            <w:r>
              <w:rPr>
                <w:b w:val="0"/>
                <w:sz w:val="17"/>
              </w:rPr>
              <w:t>Have stakeholders validate agreed user stories in staging and record approval or blocking defects.</w:t>
            </w:r>
          </w:p>
        </w:tc>
      </w:tr>
    </w:tbl>
    <w:p>
      <w:r>
        <w:t>Run fast unit and static checks on every pull request. Run integration and end-to-end suites on merge and before release. Release gates should include passing critical user journeys, no unresolved critical defects, stakeholder acceptance, verified backup/restore, monitoring readiness, and a rehearsed rollback procedure.</w:t>
      </w:r>
    </w:p>
    <w:p>
      <w:pPr>
        <w:pStyle w:val="Heading1"/>
      </w:pPr>
      <w:r>
        <w:t>9. Potential Roadblocks and Mitigation</w:t>
      </w:r>
    </w:p>
    <w:tbl>
      <w:tblPr>
        <w:tblStyle w:val="TableGrid"/>
        <w:tblW w:type="auto" w:w="0"/>
        <w:tblLook w:firstColumn="1" w:firstRow="1" w:lastColumn="0" w:lastRow="0" w:noHBand="0" w:noVBand="1" w:val="04A0"/>
      </w:tblPr>
      <w:tblGrid>
        <w:gridCol w:w="5112"/>
        <w:gridCol w:w="5112"/>
      </w:tblGrid>
      <w:tr>
        <w:tc>
          <w:tcPr>
            <w:tcW w:type="dxa" w:w="5112"/>
            <w:vAlign w:val="center"/>
            <w:shd w:fill="FCE4D6"/>
          </w:tcPr>
          <w:p>
            <w:pPr>
              <w:spacing w:after="20"/>
            </w:pPr>
            <w:r/>
            <w:r>
              <w:rPr>
                <w:b/>
                <w:sz w:val="17"/>
              </w:rPr>
              <w:t>Roadblock</w:t>
            </w:r>
          </w:p>
        </w:tc>
        <w:tc>
          <w:tcPr>
            <w:tcW w:type="dxa" w:w="5112"/>
            <w:vAlign w:val="center"/>
            <w:shd w:fill="FCE4D6"/>
          </w:tcPr>
          <w:p>
            <w:pPr>
              <w:spacing w:after="20"/>
            </w:pPr>
            <w:r/>
            <w:r>
              <w:rPr>
                <w:b/>
                <w:sz w:val="17"/>
              </w:rPr>
              <w:t>Mitigation strategy</w:t>
            </w:r>
          </w:p>
        </w:tc>
      </w:tr>
      <w:tr>
        <w:tc>
          <w:tcPr>
            <w:tcW w:type="dxa" w:w="5112"/>
            <w:vAlign w:val="center"/>
          </w:tcPr>
          <w:p>
            <w:pPr>
              <w:spacing w:after="20"/>
            </w:pPr>
            <w:r/>
            <w:r>
              <w:rPr>
                <w:b w:val="0"/>
                <w:sz w:val="17"/>
              </w:rPr>
              <w:t>Unclear or changing requirements</w:t>
            </w:r>
          </w:p>
        </w:tc>
        <w:tc>
          <w:tcPr>
            <w:tcW w:type="dxa" w:w="5112"/>
            <w:vAlign w:val="center"/>
          </w:tcPr>
          <w:p>
            <w:pPr>
              <w:spacing w:after="20"/>
            </w:pPr>
            <w:r/>
            <w:r>
              <w:rPr>
                <w:b w:val="0"/>
                <w:sz w:val="17"/>
              </w:rPr>
              <w:t>Use user stories and acceptance criteria; prioritize MVP scope and route new requests through backlog review.</w:t>
            </w:r>
          </w:p>
        </w:tc>
      </w:tr>
      <w:tr>
        <w:tc>
          <w:tcPr>
            <w:tcW w:type="dxa" w:w="5112"/>
            <w:vAlign w:val="center"/>
          </w:tcPr>
          <w:p>
            <w:pPr>
              <w:spacing w:after="20"/>
            </w:pPr>
            <w:r/>
            <w:r>
              <w:rPr>
                <w:b w:val="0"/>
                <w:sz w:val="17"/>
              </w:rPr>
              <w:t>Payment API uncertainty</w:t>
            </w:r>
          </w:p>
        </w:tc>
        <w:tc>
          <w:tcPr>
            <w:tcW w:type="dxa" w:w="5112"/>
            <w:vAlign w:val="center"/>
          </w:tcPr>
          <w:p>
            <w:pPr>
              <w:spacing w:after="20"/>
            </w:pPr>
            <w:r/>
            <w:r>
              <w:rPr>
                <w:b w:val="0"/>
                <w:sz w:val="17"/>
              </w:rPr>
              <w:t>Obtain sandbox credentials early, isolate the provider behind an adapter, and test failure/callback cases.</w:t>
            </w:r>
          </w:p>
        </w:tc>
      </w:tr>
      <w:tr>
        <w:tc>
          <w:tcPr>
            <w:tcW w:type="dxa" w:w="5112"/>
            <w:vAlign w:val="center"/>
          </w:tcPr>
          <w:p>
            <w:pPr>
              <w:spacing w:after="20"/>
            </w:pPr>
            <w:r/>
            <w:r>
              <w:rPr>
                <w:b w:val="0"/>
                <w:sz w:val="17"/>
              </w:rPr>
              <w:t>Module integration conflicts</w:t>
            </w:r>
          </w:p>
        </w:tc>
        <w:tc>
          <w:tcPr>
            <w:tcW w:type="dxa" w:w="5112"/>
            <w:vAlign w:val="center"/>
          </w:tcPr>
          <w:p>
            <w:pPr>
              <w:spacing w:after="20"/>
            </w:pPr>
            <w:r/>
            <w:r>
              <w:rPr>
                <w:b w:val="0"/>
                <w:sz w:val="17"/>
              </w:rPr>
              <w:t>Agree contracts and shared error formats early, integrate frequently, and use contract tests.</w:t>
            </w:r>
          </w:p>
        </w:tc>
      </w:tr>
      <w:tr>
        <w:tc>
          <w:tcPr>
            <w:tcW w:type="dxa" w:w="5112"/>
            <w:vAlign w:val="center"/>
          </w:tcPr>
          <w:p>
            <w:pPr>
              <w:spacing w:after="20"/>
            </w:pPr>
            <w:r/>
            <w:r>
              <w:rPr>
                <w:b w:val="0"/>
                <w:sz w:val="17"/>
              </w:rPr>
              <w:t>Database inconsistency</w:t>
            </w:r>
          </w:p>
        </w:tc>
        <w:tc>
          <w:tcPr>
            <w:tcW w:type="dxa" w:w="5112"/>
            <w:vAlign w:val="center"/>
          </w:tcPr>
          <w:p>
            <w:pPr>
              <w:spacing w:after="20"/>
            </w:pPr>
            <w:r/>
            <w:r>
              <w:rPr>
                <w:b w:val="0"/>
                <w:sz w:val="17"/>
              </w:rPr>
              <w:t>Use transactions, constraints, migrations, and tests for concurrent stock/order updates.</w:t>
            </w:r>
          </w:p>
        </w:tc>
      </w:tr>
      <w:tr>
        <w:tc>
          <w:tcPr>
            <w:tcW w:type="dxa" w:w="5112"/>
            <w:vAlign w:val="center"/>
          </w:tcPr>
          <w:p>
            <w:pPr>
              <w:spacing w:after="20"/>
            </w:pPr>
            <w:r/>
            <w:r>
              <w:rPr>
                <w:b w:val="0"/>
                <w:sz w:val="17"/>
              </w:rPr>
              <w:t>Security weaknesses</w:t>
            </w:r>
          </w:p>
        </w:tc>
        <w:tc>
          <w:tcPr>
            <w:tcW w:type="dxa" w:w="5112"/>
            <w:vAlign w:val="center"/>
          </w:tcPr>
          <w:p>
            <w:pPr>
              <w:spacing w:after="20"/>
            </w:pPr>
            <w:r/>
            <w:r>
              <w:rPr>
                <w:b w:val="0"/>
                <w:sz w:val="17"/>
              </w:rPr>
              <w:t>Apply least privilege, server-side authorization, secure secret storage, dependency checks, and focused review.</w:t>
            </w:r>
          </w:p>
        </w:tc>
      </w:tr>
      <w:tr>
        <w:tc>
          <w:tcPr>
            <w:tcW w:type="dxa" w:w="5112"/>
            <w:vAlign w:val="center"/>
          </w:tcPr>
          <w:p>
            <w:pPr>
              <w:spacing w:after="20"/>
            </w:pPr>
            <w:r/>
            <w:r>
              <w:rPr>
                <w:b w:val="0"/>
                <w:sz w:val="17"/>
              </w:rPr>
              <w:t>Schedule or resource pressure</w:t>
            </w:r>
          </w:p>
        </w:tc>
        <w:tc>
          <w:tcPr>
            <w:tcW w:type="dxa" w:w="5112"/>
            <w:vAlign w:val="center"/>
          </w:tcPr>
          <w:p>
            <w:pPr>
              <w:spacing w:after="20"/>
            </w:pPr>
            <w:r/>
            <w:r>
              <w:rPr>
                <w:b w:val="0"/>
                <w:sz w:val="17"/>
              </w:rPr>
              <w:t>Estimate work collaboratively, track actual progress, reserve contingency, and reduce optional scope before reducing test quality.</w:t>
            </w:r>
          </w:p>
        </w:tc>
      </w:tr>
      <w:tr>
        <w:tc>
          <w:tcPr>
            <w:tcW w:type="dxa" w:w="5112"/>
            <w:vAlign w:val="center"/>
          </w:tcPr>
          <w:p>
            <w:pPr>
              <w:spacing w:after="20"/>
            </w:pPr>
            <w:r/>
            <w:r>
              <w:rPr>
                <w:b w:val="0"/>
                <w:sz w:val="17"/>
              </w:rPr>
              <w:t>Deployment failure</w:t>
            </w:r>
          </w:p>
        </w:tc>
        <w:tc>
          <w:tcPr>
            <w:tcW w:type="dxa" w:w="5112"/>
            <w:vAlign w:val="center"/>
          </w:tcPr>
          <w:p>
            <w:pPr>
              <w:spacing w:after="20"/>
            </w:pPr>
            <w:r/>
            <w:r>
              <w:rPr>
                <w:b w:val="0"/>
                <w:sz w:val="17"/>
              </w:rPr>
              <w:t>Practice staging deployment, verify backups, monitor health, and document clear rollback triggers.</w:t>
            </w:r>
          </w:p>
        </w:tc>
      </w:tr>
    </w:tbl>
    <w:p>
      <w:pPr>
        <w:pStyle w:val="Heading1"/>
      </w:pPr>
      <w:r>
        <w:t>10. Maintainability, Extensibility, and Documentation</w:t>
      </w:r>
    </w:p>
    <w:p>
      <w:r>
        <w:t>Maintainability depends on readable code, clear module boundaries, automated tests, stable interfaces, and consistent development practices. Each module should expose a small interface and avoid reaching into another module's internal implementation. New features should be added through existing service and adapter boundaries where appropriate. Documentation should explain how to set up the project, run tests, configure environments, apply migrations, and deploy or roll back a release. Architecture decisions should include the context and reason for important choices.</w:t>
      </w:r>
    </w:p>
    <w:p>
      <w:pPr>
        <w:pStyle w:val="ListBullet"/>
      </w:pPr>
      <w:r>
        <w:t>Use semantic version control commits and reviewable pull requests.</w:t>
      </w:r>
    </w:p>
    <w:p>
      <w:pPr>
        <w:pStyle w:val="ListBullet"/>
      </w:pPr>
      <w:r>
        <w:t>Keep dependencies current and remove unused packages.</w:t>
      </w:r>
    </w:p>
    <w:p>
      <w:pPr>
        <w:pStyle w:val="ListBullet"/>
      </w:pPr>
      <w:r>
        <w:t>Use logs that help diagnose failures but do not expose passwords, tokens, or payment details.</w:t>
      </w:r>
    </w:p>
    <w:p>
      <w:pPr>
        <w:pStyle w:val="ListBullet"/>
      </w:pPr>
      <w:r>
        <w:t>Document known limitations and record follow-up work in the backlog.</w:t>
      </w:r>
    </w:p>
    <w:p>
      <w:pPr>
        <w:pStyle w:val="ListBullet"/>
      </w:pPr>
      <w:r>
        <w:t>Review module boundaries during retrospectives as complexity or requirements evolve.</w:t>
      </w:r>
    </w:p>
    <w:p>
      <w:pPr>
        <w:pStyle w:val="Heading1"/>
      </w:pPr>
      <w:r>
        <w:t>11. Evaluation and Success Criteria</w:t>
      </w:r>
    </w:p>
    <w:p>
      <w:pPr>
        <w:pStyle w:val="ListBullet"/>
      </w:pPr>
      <w:r>
        <w:t>The roadmap presents a logical sequence from planning to release with clear milestones and owners.</w:t>
      </w:r>
    </w:p>
    <w:p>
      <w:pPr>
        <w:pStyle w:val="ListBullet"/>
      </w:pPr>
      <w:r>
        <w:t>Each module has a defined responsibility and its interactions are documented.</w:t>
      </w:r>
    </w:p>
    <w:p>
      <w:pPr>
        <w:pStyle w:val="ListBullet"/>
      </w:pPr>
      <w:r>
        <w:t>The selected stack and patterns are justified by project needs rather than popularity alone.</w:t>
      </w:r>
    </w:p>
    <w:p>
      <w:pPr>
        <w:pStyle w:val="ListBullet"/>
      </w:pPr>
      <w:r>
        <w:t>Critical user journeys are covered by automated and acceptance tests.</w:t>
      </w:r>
    </w:p>
    <w:p>
      <w:pPr>
        <w:pStyle w:val="ListBullet"/>
      </w:pPr>
      <w:r>
        <w:t>The team can set up the application from documented instructions and reproduce test results.</w:t>
      </w:r>
    </w:p>
    <w:p>
      <w:pPr>
        <w:pStyle w:val="ListBullet"/>
      </w:pPr>
      <w:r>
        <w:t>Risks, dependencies, security requirements, and deployment rollback steps are explicitly addressed.</w:t>
      </w:r>
    </w:p>
    <w:p>
      <w:pPr>
        <w:pStyle w:val="Heading1"/>
      </w:pPr>
      <w:r>
        <w:t>12. Conclusion</w:t>
      </w:r>
    </w:p>
    <w:p>
      <w:r>
        <w:t>This implementation roadmap connects project milestones with a modular code design and practical engineering guidelines. A modular monolith, clearly defined services, a payment adapter, automated tests, code review, and continuous integration provide a manageable foundation for the initial product. Early validation of requirements and external dependencies, along with risk-based testing and deployment rehearsal, will reduce avoidable surprises. The roadmap is a living plan and should be refined as the team learns more about actual scope, capacity, and technical constraints.</w:t>
      </w:r>
    </w:p>
    <w:p>
      <w:pPr>
        <w:pStyle w:val="Heading1"/>
      </w:pPr>
      <w:r>
        <w:t>13. Public References</w:t>
      </w:r>
    </w:p>
    <w:p>
      <w:pPr>
        <w:pStyle w:val="ListBullet"/>
      </w:pPr>
      <w:r>
        <w:rPr>
          <w:b/>
        </w:rPr>
        <w:t xml:space="preserve">The Scrum Guide: </w:t>
      </w:r>
      <w:r>
        <w:t>Iterative planning and review practices. https://scrumguides.org/scrum-guide.html</w:t>
      </w:r>
    </w:p>
    <w:p>
      <w:pPr>
        <w:pStyle w:val="ListBullet"/>
      </w:pPr>
      <w:r>
        <w:rPr>
          <w:b/>
        </w:rPr>
        <w:t xml:space="preserve">Agile Manifesto: </w:t>
      </w:r>
      <w:r>
        <w:t>Principles for collaboration and incremental delivery. https://agilemanifesto.org/</w:t>
      </w:r>
    </w:p>
    <w:p>
      <w:pPr>
        <w:pStyle w:val="ListBullet"/>
      </w:pPr>
      <w:r>
        <w:rPr>
          <w:b/>
        </w:rPr>
        <w:t xml:space="preserve">OWASP Application Security Verification Standard: </w:t>
      </w:r>
      <w:r>
        <w:t>Application security verification guidance. https://owasp.org/www-project-application-security-verification-standard/</w:t>
      </w:r>
    </w:p>
    <w:p>
      <w:pPr>
        <w:pStyle w:val="ListBullet"/>
      </w:pPr>
      <w:r>
        <w:rPr>
          <w:b/>
        </w:rPr>
        <w:t xml:space="preserve">Python documentation: </w:t>
      </w:r>
      <w:r>
        <w:t>Official language and standard-library documentation. https://docs.python.org/3/</w:t>
      </w:r>
    </w:p>
    <w:p>
      <w:pPr>
        <w:pStyle w:val="ListBullet"/>
      </w:pPr>
      <w:r>
        <w:rPr>
          <w:b/>
        </w:rPr>
        <w:t xml:space="preserve">pytest documentation: </w:t>
      </w:r>
      <w:r>
        <w:t>Testing framework documentation. https://docs.pytest.org/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