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jc w:val="center"/>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LETTER OF EMPLOYMENT FOR INTERNAL HALAL COMMITTEE MEMBER</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spacing w:before="52" w:lineRule="auto"/>
        <w:ind w:firstLine="120"/>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1.0 Internal Halal Committee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82" w:line="259" w:lineRule="auto"/>
        <w:ind w:left="120" w:right="114" w:firstLine="36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We are pleased to inform you that you have been selected to be one of the Internal Halal Committee </w:t>
      </w:r>
      <w:r w:rsidDel="00000000" w:rsidR="00000000" w:rsidRPr="00000000">
        <w:rPr>
          <w:rFonts w:ascii="Tahoma" w:cs="Tahoma" w:eastAsia="Tahoma" w:hAnsi="Tahoma"/>
          <w:rtl w:val="0"/>
        </w:rPr>
        <w:t xml:space="preserve">Members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In order to improve the effectiveness of controlling halal purity and genuineness, our company has Halal Assurance Management System (HAS), you are required to assist the team.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ind w:firstLine="120"/>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2.0 Appointed Internal Halal Committee Member</w:t>
      </w:r>
    </w:p>
    <w:p w:rsidR="00000000" w:rsidDel="00000000" w:rsidP="00000000" w:rsidRDefault="00000000" w:rsidRPr="00000000" w14:paraId="00000009">
      <w:pPr>
        <w:pStyle w:val="Heading2"/>
        <w:ind w:firstLine="120"/>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84" w:line="240" w:lineRule="auto"/>
        <w:ind w:left="12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NAME: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81" w:line="240" w:lineRule="auto"/>
        <w:ind w:left="12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POSITION: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2"/>
        <w:numPr>
          <w:ilvl w:val="1"/>
          <w:numId w:val="1"/>
        </w:numPr>
        <w:tabs>
          <w:tab w:val="left" w:pos="481"/>
        </w:tabs>
        <w:ind w:left="480" w:hanging="361"/>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Responsibility &amp; Authority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82" w:line="240" w:lineRule="auto"/>
        <w:ind w:left="480" w:right="0" w:firstLine="0"/>
        <w:jc w:val="both"/>
        <w:rPr>
          <w:rFonts w:ascii="Tahoma" w:cs="Tahoma" w:eastAsia="Tahoma" w:hAnsi="Tahoma"/>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Under this agreement you shall:</w:t>
      </w:r>
    </w:p>
    <w:p w:rsidR="00000000" w:rsidDel="00000000" w:rsidP="00000000" w:rsidRDefault="00000000" w:rsidRPr="00000000" w14:paraId="00000010">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841"/>
        </w:tabs>
        <w:spacing w:after="0" w:before="183" w:line="240" w:lineRule="auto"/>
        <w:ind w:left="840" w:right="0" w:hanging="361"/>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Responsible for the establishment </w:t>
      </w:r>
      <w:r w:rsidDel="00000000" w:rsidR="00000000" w:rsidRPr="00000000">
        <w:rPr>
          <w:rFonts w:ascii="Tahoma" w:cs="Tahoma" w:eastAsia="Tahoma" w:hAnsi="Tahoma"/>
          <w:rtl w:val="0"/>
        </w:rPr>
        <w:t xml:space="preserve">of the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halal certification system i.e. for new applications and renewal of halal certification.</w:t>
      </w:r>
    </w:p>
    <w:p w:rsidR="00000000" w:rsidDel="00000000" w:rsidP="00000000" w:rsidRDefault="00000000" w:rsidRPr="00000000" w14:paraId="00000011">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890"/>
          <w:tab w:val="left" w:pos="891"/>
        </w:tabs>
        <w:spacing w:after="0" w:before="19" w:line="240" w:lineRule="auto"/>
        <w:ind w:left="890" w:right="0" w:hanging="411"/>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Responsible for the halal file.</w:t>
      </w:r>
    </w:p>
    <w:p w:rsidR="00000000" w:rsidDel="00000000" w:rsidP="00000000" w:rsidRDefault="00000000" w:rsidRPr="00000000" w14:paraId="00000012">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841"/>
        </w:tabs>
        <w:spacing w:after="0" w:before="22" w:line="259" w:lineRule="auto"/>
        <w:ind w:left="840" w:right="328" w:hanging="36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Responsible for controlling and updating the </w:t>
      </w:r>
      <w:r w:rsidDel="00000000" w:rsidR="00000000" w:rsidRPr="00000000">
        <w:rPr>
          <w:rFonts w:ascii="Tahoma" w:cs="Tahoma" w:eastAsia="Tahoma" w:hAnsi="Tahoma"/>
          <w:rtl w:val="0"/>
        </w:rPr>
        <w:t xml:space="preserve">establishment of</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Halal Assurance Management System.</w:t>
      </w:r>
    </w:p>
    <w:p w:rsidR="00000000" w:rsidDel="00000000" w:rsidP="00000000" w:rsidRDefault="00000000" w:rsidRPr="00000000" w14:paraId="00000013">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841"/>
        </w:tabs>
        <w:spacing w:after="0" w:before="1" w:line="259" w:lineRule="auto"/>
        <w:ind w:left="840" w:right="463" w:hanging="36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Organize and coordinate and/ or monitor Halal Assurance Management System activities such as development of the halal policy and objective, halal analysis for materials and processes, halal training, Halal Assurance Management System verification activities (halal internal audit), IHC meetings and management meetings amongst others.</w:t>
      </w:r>
    </w:p>
    <w:p w:rsidR="00000000" w:rsidDel="00000000" w:rsidP="00000000" w:rsidRDefault="00000000" w:rsidRPr="00000000" w14:paraId="00000014">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841"/>
        </w:tabs>
        <w:spacing w:after="0" w:before="0" w:line="268" w:lineRule="auto"/>
        <w:ind w:left="840" w:right="0" w:hanging="361"/>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Monitor Halal Critical Control Point (HCCP) </w:t>
      </w:r>
      <w:r w:rsidDel="00000000" w:rsidR="00000000" w:rsidRPr="00000000">
        <w:rPr>
          <w:rFonts w:ascii="Tahoma" w:cs="Tahoma" w:eastAsia="Tahoma" w:hAnsi="Tahoma"/>
          <w:rtl w:val="0"/>
        </w:rPr>
        <w:t xml:space="preserve">records and procedures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and supervise corrective action for related HCCP deviations</w:t>
      </w:r>
    </w:p>
    <w:p w:rsidR="00000000" w:rsidDel="00000000" w:rsidP="00000000" w:rsidRDefault="00000000" w:rsidRPr="00000000" w14:paraId="00000015">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840"/>
          <w:tab w:val="left" w:pos="841"/>
        </w:tabs>
        <w:spacing w:after="0" w:before="19" w:line="259" w:lineRule="auto"/>
        <w:ind w:left="840" w:right="159" w:hanging="36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Involve in product recalls and withdrawals until the deviation or the unsatisfactory condition relating to Halal Assurance Management System requirements have been corrected.</w:t>
      </w:r>
    </w:p>
    <w:p w:rsidR="00000000" w:rsidDel="00000000" w:rsidP="00000000" w:rsidRDefault="00000000" w:rsidRPr="00000000" w14:paraId="00000016">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841"/>
        </w:tabs>
        <w:spacing w:after="0" w:before="1" w:line="259" w:lineRule="auto"/>
        <w:ind w:left="840" w:right="550" w:hanging="36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Identifying internal and external experts to assist in the development of Halal Assurance Management System knowledge and to conduct training.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841"/>
        </w:tabs>
        <w:spacing w:after="0" w:before="1" w:line="259" w:lineRule="auto"/>
        <w:ind w:right="550"/>
        <w:jc w:val="both"/>
        <w:rPr>
          <w:rFonts w:ascii="Tahoma" w:cs="Tahoma" w:eastAsia="Tahoma" w:hAnsi="Tahoma"/>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841"/>
        </w:tabs>
        <w:spacing w:after="0" w:before="1" w:line="259" w:lineRule="auto"/>
        <w:ind w:right="550"/>
        <w:jc w:val="both"/>
        <w:rPr>
          <w:rFonts w:ascii="Tahoma" w:cs="Tahoma" w:eastAsia="Tahoma" w:hAnsi="Tahoma"/>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841"/>
        </w:tabs>
        <w:spacing w:after="0" w:before="1" w:line="259" w:lineRule="auto"/>
        <w:ind w:right="550"/>
        <w:jc w:val="both"/>
        <w:rPr>
          <w:rFonts w:ascii="Tahoma" w:cs="Tahoma" w:eastAsia="Tahoma" w:hAnsi="Tahoma"/>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841"/>
        </w:tabs>
        <w:spacing w:after="0" w:before="1" w:line="259" w:lineRule="auto"/>
        <w:ind w:right="550"/>
        <w:jc w:val="both"/>
        <w:rPr>
          <w:rFonts w:ascii="Tahoma" w:cs="Tahoma" w:eastAsia="Tahoma" w:hAnsi="Tahoma"/>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841"/>
        </w:tabs>
        <w:spacing w:after="0" w:before="1" w:line="259" w:lineRule="auto"/>
        <w:ind w:right="550"/>
        <w:jc w:val="both"/>
        <w:rPr>
          <w:rFonts w:ascii="Tahoma" w:cs="Tahoma" w:eastAsia="Tahoma" w:hAnsi="Tahoma"/>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841"/>
        </w:tabs>
        <w:spacing w:after="0" w:before="1" w:line="259" w:lineRule="auto"/>
        <w:ind w:right="550"/>
        <w:jc w:val="both"/>
        <w:rPr>
          <w:rFonts w:ascii="Tahoma" w:cs="Tahoma" w:eastAsia="Tahoma" w:hAnsi="Tahoma"/>
        </w:rPr>
      </w:pPr>
      <w:r w:rsidDel="00000000" w:rsidR="00000000" w:rsidRPr="00000000">
        <w:rPr>
          <w:rFonts w:ascii="Tahoma" w:cs="Tahoma" w:eastAsia="Tahoma" w:hAnsi="Tahoma"/>
          <w:rtl w:val="0"/>
        </w:rPr>
        <w:t xml:space="preserve">Name: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841"/>
        </w:tabs>
        <w:spacing w:after="0" w:before="1" w:line="259" w:lineRule="auto"/>
        <w:ind w:right="550"/>
        <w:jc w:val="both"/>
        <w:rPr>
          <w:rFonts w:ascii="Tahoma" w:cs="Tahoma" w:eastAsia="Tahoma" w:hAnsi="Tahoma"/>
        </w:rPr>
      </w:pPr>
      <w:r w:rsidDel="00000000" w:rsidR="00000000" w:rsidRPr="00000000">
        <w:rPr>
          <w:rFonts w:ascii="Tahoma" w:cs="Tahoma" w:eastAsia="Tahoma" w:hAnsi="Tahoma"/>
          <w:rtl w:val="0"/>
        </w:rPr>
        <w:t xml:space="preserve">Position: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841"/>
        </w:tabs>
        <w:spacing w:after="0" w:before="1" w:line="259" w:lineRule="auto"/>
        <w:ind w:right="550"/>
        <w:jc w:val="both"/>
        <w:rPr>
          <w:rFonts w:ascii="Tahoma" w:cs="Tahoma" w:eastAsia="Tahoma" w:hAnsi="Tahoma"/>
        </w:rPr>
      </w:pPr>
      <w:r w:rsidDel="00000000" w:rsidR="00000000" w:rsidRPr="00000000">
        <w:rPr>
          <w:rFonts w:ascii="Tahoma" w:cs="Tahoma" w:eastAsia="Tahoma" w:hAnsi="Tahoma"/>
          <w:rtl w:val="0"/>
        </w:rPr>
        <w:t xml:space="preserve">Date: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841"/>
        </w:tabs>
        <w:spacing w:after="0" w:before="1" w:line="259" w:lineRule="auto"/>
        <w:ind w:right="550"/>
        <w:jc w:val="both"/>
        <w:rPr>
          <w:rFonts w:ascii="Tahoma" w:cs="Tahoma" w:eastAsia="Tahoma" w:hAnsi="Tahoma"/>
        </w:rPr>
      </w:pPr>
      <w:r w:rsidDel="00000000" w:rsidR="00000000" w:rsidRPr="00000000">
        <w:rPr>
          <w:rFonts w:ascii="Tahoma" w:cs="Tahoma" w:eastAsia="Tahoma" w:hAnsi="Tahoma"/>
          <w:rtl w:val="0"/>
        </w:rPr>
        <w:t xml:space="preserve">Signature: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ahoma">
    <w:embedRegular w:fontKey="{00000000-0000-0000-0000-000000000000}" r:id="rId1" w:subsetted="0"/>
    <w:embedBold w:fontKey="{00000000-0000-0000-0000-000000000000}" r:id="rId2" w:subsetted="0"/>
  </w:font>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480" w:hanging="360"/>
      </w:pPr>
      <w:rPr/>
    </w:lvl>
    <w:lvl w:ilvl="1">
      <w:start w:val="1"/>
      <w:numFmt w:val="decimal"/>
      <w:lvlText w:val="%1.%2"/>
      <w:lvlJc w:val="left"/>
      <w:pPr>
        <w:ind w:left="480" w:hanging="360"/>
      </w:pPr>
      <w:rPr>
        <w:rFonts w:ascii="Carlito" w:cs="Carlito" w:eastAsia="Carlito" w:hAnsi="Carlito"/>
        <w:sz w:val="24"/>
        <w:szCs w:val="24"/>
      </w:rPr>
    </w:lvl>
    <w:lvl w:ilvl="2">
      <w:start w:val="1"/>
      <w:numFmt w:val="lowerLetter"/>
      <w:lvlText w:val="%3)"/>
      <w:lvlJc w:val="left"/>
      <w:pPr>
        <w:ind w:left="840" w:hanging="360"/>
      </w:pPr>
      <w:rPr>
        <w:rFonts w:ascii="Carlito" w:cs="Carlito" w:eastAsia="Carlito" w:hAnsi="Carlito"/>
        <w:sz w:val="22"/>
        <w:szCs w:val="22"/>
      </w:rPr>
    </w:lvl>
    <w:lvl w:ilvl="3">
      <w:start w:val="1"/>
      <w:numFmt w:val="bullet"/>
      <w:lvlText w:val="•"/>
      <w:lvlJc w:val="left"/>
      <w:pPr>
        <w:ind w:left="2712" w:hanging="360"/>
      </w:pPr>
      <w:rPr/>
    </w:lvl>
    <w:lvl w:ilvl="4">
      <w:start w:val="1"/>
      <w:numFmt w:val="bullet"/>
      <w:lvlText w:val="•"/>
      <w:lvlJc w:val="left"/>
      <w:pPr>
        <w:ind w:left="3648" w:hanging="360"/>
      </w:pPr>
      <w:rPr/>
    </w:lvl>
    <w:lvl w:ilvl="5">
      <w:start w:val="1"/>
      <w:numFmt w:val="bullet"/>
      <w:lvlText w:val="•"/>
      <w:lvlJc w:val="left"/>
      <w:pPr>
        <w:ind w:left="4585" w:hanging="360"/>
      </w:pPr>
      <w:rPr/>
    </w:lvl>
    <w:lvl w:ilvl="6">
      <w:start w:val="1"/>
      <w:numFmt w:val="bullet"/>
      <w:lvlText w:val="•"/>
      <w:lvlJc w:val="left"/>
      <w:pPr>
        <w:ind w:left="5521" w:hanging="360"/>
      </w:pPr>
      <w:rPr/>
    </w:lvl>
    <w:lvl w:ilvl="7">
      <w:start w:val="1"/>
      <w:numFmt w:val="bullet"/>
      <w:lvlText w:val="•"/>
      <w:lvlJc w:val="left"/>
      <w:pPr>
        <w:ind w:left="6457" w:hanging="360"/>
      </w:pPr>
      <w:rPr/>
    </w:lvl>
    <w:lvl w:ilvl="8">
      <w:start w:val="1"/>
      <w:numFmt w:val="bullet"/>
      <w:lvlText w:val="•"/>
      <w:lvlJc w:val="left"/>
      <w:pPr>
        <w:ind w:left="7393"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178" w:line="240" w:lineRule="auto"/>
      <w:ind w:left="574"/>
    </w:pPr>
    <w:rPr>
      <w:rFonts w:ascii="Carlito" w:cs="Carlito" w:eastAsia="Carlito" w:hAnsi="Carlito"/>
      <w:sz w:val="28"/>
      <w:szCs w:val="28"/>
      <w:u w:val="single"/>
    </w:rPr>
  </w:style>
  <w:style w:type="paragraph" w:styleId="Heading2">
    <w:name w:val="heading 2"/>
    <w:basedOn w:val="Normal"/>
    <w:next w:val="Normal"/>
    <w:pPr>
      <w:widowControl w:val="0"/>
      <w:spacing w:after="0" w:line="240" w:lineRule="auto"/>
      <w:ind w:left="120"/>
    </w:pPr>
    <w:rPr>
      <w:rFonts w:ascii="Carlito" w:cs="Carlito" w:eastAsia="Carlito" w:hAnsi="Carlito"/>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A5727"/>
    <w:rPr>
      <w:rFonts w:eastAsia="SimSun"/>
    </w:rPr>
  </w:style>
  <w:style w:type="paragraph" w:styleId="Heading1">
    <w:name w:val="heading 1"/>
    <w:basedOn w:val="Normal"/>
    <w:link w:val="Heading1Char"/>
    <w:uiPriority w:val="9"/>
    <w:qFormat w:val="1"/>
    <w:rsid w:val="00AA5727"/>
    <w:pPr>
      <w:widowControl w:val="0"/>
      <w:autoSpaceDE w:val="0"/>
      <w:autoSpaceDN w:val="0"/>
      <w:spacing w:after="0" w:before="178" w:line="240" w:lineRule="auto"/>
      <w:ind w:left="574"/>
      <w:outlineLvl w:val="0"/>
    </w:pPr>
    <w:rPr>
      <w:rFonts w:ascii="Carlito" w:cs="Carlito" w:eastAsia="Carlito" w:hAnsi="Carlito"/>
      <w:sz w:val="28"/>
      <w:szCs w:val="28"/>
      <w:u w:color="000000" w:val="single"/>
      <w:lang w:val="en-US"/>
    </w:rPr>
  </w:style>
  <w:style w:type="paragraph" w:styleId="Heading2">
    <w:name w:val="heading 2"/>
    <w:basedOn w:val="Normal"/>
    <w:link w:val="Heading2Char"/>
    <w:uiPriority w:val="9"/>
    <w:unhideWhenUsed w:val="1"/>
    <w:qFormat w:val="1"/>
    <w:rsid w:val="00AA5727"/>
    <w:pPr>
      <w:widowControl w:val="0"/>
      <w:autoSpaceDE w:val="0"/>
      <w:autoSpaceDN w:val="0"/>
      <w:spacing w:after="0" w:line="240" w:lineRule="auto"/>
      <w:ind w:left="120"/>
      <w:outlineLvl w:val="1"/>
    </w:pPr>
    <w:rPr>
      <w:rFonts w:ascii="Carlito" w:cs="Carlito" w:eastAsia="Carlito" w:hAnsi="Carlito"/>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A5727"/>
    <w:rPr>
      <w:rFonts w:ascii="Carlito" w:cs="Carlito" w:eastAsia="Carlito" w:hAnsi="Carlito"/>
      <w:sz w:val="28"/>
      <w:szCs w:val="28"/>
      <w:u w:color="000000" w:val="single"/>
      <w:lang w:val="en-US"/>
    </w:rPr>
  </w:style>
  <w:style w:type="character" w:styleId="Heading2Char" w:customStyle="1">
    <w:name w:val="Heading 2 Char"/>
    <w:basedOn w:val="DefaultParagraphFont"/>
    <w:link w:val="Heading2"/>
    <w:uiPriority w:val="9"/>
    <w:rsid w:val="00AA5727"/>
    <w:rPr>
      <w:rFonts w:ascii="Carlito" w:cs="Carlito" w:eastAsia="Carlito" w:hAnsi="Carlito"/>
      <w:sz w:val="24"/>
      <w:szCs w:val="24"/>
      <w:lang w:val="en-US"/>
    </w:rPr>
  </w:style>
  <w:style w:type="paragraph" w:styleId="ListParagraph">
    <w:name w:val="List Paragraph"/>
    <w:basedOn w:val="Normal"/>
    <w:uiPriority w:val="34"/>
    <w:qFormat w:val="1"/>
    <w:rsid w:val="00AA5727"/>
    <w:pPr>
      <w:ind w:left="720"/>
      <w:contextualSpacing w:val="1"/>
    </w:pPr>
  </w:style>
  <w:style w:type="paragraph" w:styleId="TableParagraph" w:customStyle="1">
    <w:name w:val="Table Paragraph"/>
    <w:basedOn w:val="Normal"/>
    <w:uiPriority w:val="1"/>
    <w:qFormat w:val="1"/>
    <w:rsid w:val="00AA5727"/>
    <w:pPr>
      <w:widowControl w:val="0"/>
      <w:autoSpaceDE w:val="0"/>
      <w:autoSpaceDN w:val="0"/>
      <w:spacing w:after="0" w:line="240" w:lineRule="auto"/>
    </w:pPr>
    <w:rPr>
      <w:rFonts w:ascii="Tahoma" w:cs="Tahoma" w:eastAsia="Tahoma" w:hAnsi="Tahoma"/>
      <w:lang w:val="en-US"/>
    </w:rPr>
  </w:style>
  <w:style w:type="paragraph" w:styleId="BodyText">
    <w:name w:val="Body Text"/>
    <w:basedOn w:val="Normal"/>
    <w:link w:val="BodyTextChar"/>
    <w:uiPriority w:val="1"/>
    <w:qFormat w:val="1"/>
    <w:rsid w:val="00AA5727"/>
    <w:pPr>
      <w:widowControl w:val="0"/>
      <w:autoSpaceDE w:val="0"/>
      <w:autoSpaceDN w:val="0"/>
      <w:spacing w:after="0" w:line="240" w:lineRule="auto"/>
    </w:pPr>
    <w:rPr>
      <w:rFonts w:ascii="Carlito" w:cs="Carlito" w:eastAsia="Carlito" w:hAnsi="Carlito"/>
      <w:lang w:val="en-US"/>
    </w:rPr>
  </w:style>
  <w:style w:type="character" w:styleId="BodyTextChar" w:customStyle="1">
    <w:name w:val="Body Text Char"/>
    <w:basedOn w:val="DefaultParagraphFont"/>
    <w:link w:val="BodyText"/>
    <w:uiPriority w:val="1"/>
    <w:rsid w:val="00AA5727"/>
    <w:rPr>
      <w:rFonts w:ascii="Carlito" w:cs="Carlito" w:eastAsia="Carlito" w:hAnsi="Carlito"/>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7qpKVEARfCqSe+LAP7SCcNWhA==">AMUW2mWzrNmkt9B6rGyQnEezvCtYN3jsSb+noLJUIs43W/PZKelTgtueEtKYQ+fvzPfPhqcqm++i0DJTHhJwdh+JYiIyXQ3Sdk1h3UCAlBkFVXKFqJPzwDNe3cJ4BTvTUibbYgyoEBG1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2021-08-10T16:19:00Z</dcterms:created>
  <dc:creator>NABIHAH BINTI MANAP</dc:creator>
</cp:coreProperties>
</file>