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Topic/Title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Power Dynamics as Representation of Fear in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Script Series.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explains the description of the background of the study, the reason for choosing the topic, the statement of the problem, the objective of the study, the significance of the study, the scope of the study, and the definition of terminology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5">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commentRangeStart w:id="1"/>
      <w:r w:rsidDel="00000000" w:rsidR="00000000" w:rsidRPr="00000000">
        <w:rPr>
          <w:rFonts w:ascii="Times New Roman" w:cs="Times New Roman" w:eastAsia="Times New Roman" w:hAnsi="Times New Roman"/>
          <w:b w:val="1"/>
          <w:bCs w:val="1"/>
          <w:color w:val="000000"/>
          <w:sz w:val="24"/>
          <w:szCs w:val="24"/>
          <w:rtl w:val="0"/>
        </w:rPr>
        <w:t xml:space="preserve">Background of the study</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humanity is disarmed by a world overrun by zombies? Will the world still be fine? The researchers presented a series named “</w:t>
      </w:r>
      <w:r w:rsidDel="00000000" w:rsidR="00000000" w:rsidRPr="00000000">
        <w:rPr>
          <w:rFonts w:ascii="Times New Roman" w:cs="Times New Roman" w:eastAsia="Times New Roman" w:hAnsi="Times New Roman"/>
          <w:i w:val="1"/>
          <w:iCs w:val="1"/>
          <w:sz w:val="24"/>
          <w:szCs w:val="24"/>
          <w:rtl w:val="0"/>
        </w:rPr>
        <w:t xml:space="preserve">The Walking Dead.” </w:t>
      </w:r>
      <w:r w:rsidDel="00000000" w:rsidR="00000000" w:rsidRPr="00000000">
        <w:rPr>
          <w:rFonts w:ascii="Times New Roman" w:cs="Times New Roman" w:eastAsia="Times New Roman" w:hAnsi="Times New Roman"/>
          <w:sz w:val="24"/>
          <w:szCs w:val="24"/>
          <w:rtl w:val="0"/>
        </w:rPr>
        <w:t xml:space="preserve">The Walking Dead is a television series adapted from the comic book of the same name, which raises complex themes of power, fear, and control in a post-apocalyptic world. The series depicts the characters' struggle to survive in a world devastated by a zombie plague, where individuals and groups must struggle to maintain power and survive (Ambrosius &amp; Valenzano III, 2016). However, one of the main issues that arises in the series is how power and fear are manipulated to control individuals and groups (Kennedy, n.d.). This phenomenon illustrates how fear can be used to create dominance and regulate social structures in extreme situations, whose relevance can be found in various social and political dynamics in the real world.</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striking symbols that depicts the dynamics of power and fear is Lucille, a wooden bat used by Negan, the leader of the group, The Saviors. Lucille is not just a physical weapon but also a symbol of power gained through fear. The fear created by Lucille as a punitive tool serves to reinforce Negan's dominance over other groups. The main problem that arises is how this fear not only affects the characters in the story but also reflects the dynamics of power in the wider society, where symbols of power can create or reinforce social hierarchies (YOUNG, 2023). In the real world, we often see symbols of power that function similarly, where tools of power, such as weapons, money, or influence, are used to control and strengthen existing social structures.</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bookmarkStart w:colFirst="0" w:colLast="0" w:name="_zc6pxgebj6d" w:id="0"/>
      <w:bookmarkEnd w:id="0"/>
      <w:r w:rsidDel="00000000" w:rsidR="00000000" w:rsidRPr="00000000">
        <w:rPr>
          <w:rFonts w:ascii="Times New Roman" w:cs="Times New Roman" w:eastAsia="Times New Roman" w:hAnsi="Times New Roman"/>
          <w:sz w:val="24"/>
          <w:szCs w:val="24"/>
          <w:rtl w:val="0"/>
        </w:rPr>
        <w:t xml:space="preserve">Semiotics is a discipline that studies symbols and their functions in diverse contexts. Maulida Laily Kusuma Wati et al., (2023) Semiotic theory provides a powerful guide to understanding how symbols such as Lucille work in the construction of meaning and how these symbols are used to shape and control the perception of the audience. Ferdinand de Saussure suggests that a sign consists of two main components: signifiers and signifieds. A sign is the physical or material form of a sign, while a sign is a concept or meaning associated with the sign (de Saussure, 2011). Roland Barthes is a figure who continues Saussure's thinking.  Saussure put his attention and interest on how the complex way of sentence formation and the way sentences form in choosing meaning, but he was less interested that in fact the same sentence or message conveyed could have different meanings to people who were in different situations. Denotation meaning is the real meaning. The connotative meaning is the figurative meaning of a word. Meanwhile, myth is a form of message or a standard speaker of the community in its time that must be believed to be true without having to be proven (Afrisyah &amp; Kurniawan, 2024). In the context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Lucille can be seen as a sign that has denotation, connotation, and myth according to Roland Barthes' semiotic analysis. Negan uses Lucille as a weapon, a baseball bat wrapped in barbed wire. However, Lucille also symbolizes Negan's power, dominance, and fear, so the bat is not just a weapon but a symbol of violence and psychological control. Lucille is not only a physical tool, but also a narrative tool that confirms Negan's position as a tyrannical leader. This dynamic reflects how symbols in society can serve to strengthen the power system through cultural associations and influences. It is important to note that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the power dynamics shaped by symbols like Lucille not only reflect conditions in a fictional world but also reflect social realities in the real world. Fear of being manipulated to maintain power can be seen in various forms in modern society, both in political, social, and economic relations (Zizek, 2008). Lucille describes how individuals or groups who have control over the tools of power, be it weapons, money, or influence, can use fear to reinforce their dominance and control others (Wolfman, 2023). This representation of fear through symbols not only has an impact on the characters in The Walking Dead but also provides a lesson on how fear can be used in power structures in the real world.</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with other literary works that also use symbols of power and fear can be made through classics such as 1984 by George Orwell. In this novel, power and control are represented by more direct symbols, such as </w:t>
      </w:r>
      <w:r w:rsidDel="00000000" w:rsidR="00000000" w:rsidRPr="00000000">
        <w:rPr>
          <w:rFonts w:ascii="Times New Roman" w:cs="Times New Roman" w:eastAsia="Times New Roman" w:hAnsi="Times New Roman"/>
          <w:i w:val="1"/>
          <w:iCs w:val="1"/>
          <w:sz w:val="24"/>
          <w:szCs w:val="24"/>
          <w:rtl w:val="0"/>
        </w:rPr>
        <w:t xml:space="preserve">the Big Brother</w:t>
      </w:r>
      <w:r w:rsidDel="00000000" w:rsidR="00000000" w:rsidRPr="00000000">
        <w:rPr>
          <w:rFonts w:ascii="Times New Roman" w:cs="Times New Roman" w:eastAsia="Times New Roman" w:hAnsi="Times New Roman"/>
          <w:sz w:val="24"/>
          <w:szCs w:val="24"/>
          <w:rtl w:val="0"/>
        </w:rPr>
        <w:t xml:space="preserve">, who not only watches but also creates fear in order to control their people. 1984 depicts how a totalitarian regime can exploit fear to manipulate reality and control individuals through invisible surveillance, very similar to how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uses physical symbols such as Lucille to create fear that perpetuates power. While 1984 focused more on power in a broader political and social context,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depicts power in a post-apocalyptic situation, where fear is used to sustain surviving groups through brutal influence and physical force. Both of these works show how fear and symbols of power can be used to maintain dominance, albeit against very different backgrounds.</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in modern literary works such as Lord of the Flies by William Golding, symbols of power are also very prominent, with the use of objects such as horns that represent authority and fear used to control groups. As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this fear creates a sharp divide between the powerful and the oppressed, showing how these symbols control the actions of individuals and groups in extreme situations. As such, both Lord of the Flies and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illustrate how fear and power can worsen social conditions, creating hierarchies that are detrimental to weaker parties. This study is important because it helps uncover how symbols of power, such as the Lucille, can function in creating fear, controlling individuals, and maintaining social hierarchies. In a broader context, understanding how fear is produced and maintained through symbols can help us to be more critical in looking at how power works in our society. By observing how </w:t>
      </w:r>
      <w:r w:rsidDel="00000000" w:rsidR="00000000" w:rsidRPr="00000000">
        <w:rPr>
          <w:rFonts w:ascii="Times New Roman" w:cs="Times New Roman" w:eastAsia="Times New Roman" w:hAnsi="Times New Roman"/>
          <w:i w:val="1"/>
          <w:iCs w:val="1"/>
          <w:sz w:val="24"/>
          <w:szCs w:val="24"/>
          <w:rtl w:val="0"/>
        </w:rPr>
        <w:t xml:space="preserve">The Walking Dead </w:t>
      </w:r>
      <w:r w:rsidDel="00000000" w:rsidR="00000000" w:rsidRPr="00000000">
        <w:rPr>
          <w:rFonts w:ascii="Times New Roman" w:cs="Times New Roman" w:eastAsia="Times New Roman" w:hAnsi="Times New Roman"/>
          <w:sz w:val="24"/>
          <w:szCs w:val="24"/>
          <w:rtl w:val="0"/>
        </w:rPr>
        <w:t xml:space="preserve">portrays the manipulation of fear through Lucille, we can gain deeper insights into the dynamics of power in real life, as well as how we can be more wary of practices that use fear to control others (Adolph, 2016). </w:t>
      </w:r>
    </w:p>
    <w:p w:rsidR="00000000" w:rsidDel="00000000" w:rsidP="00000000" w:rsidRDefault="00000000" w:rsidRPr="00000000" w14:paraId="0000000B">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bookmarkStart w:colFirst="0" w:colLast="0" w:name="_ql01bhwe17v" w:id="1"/>
      <w:bookmarkEnd w:id="1"/>
      <w:r w:rsidDel="00000000" w:rsidR="00000000" w:rsidRPr="00000000">
        <w:rPr>
          <w:rFonts w:ascii="Times New Roman" w:cs="Times New Roman" w:eastAsia="Times New Roman" w:hAnsi="Times New Roman"/>
          <w:b w:val="1"/>
          <w:bCs w:val="1"/>
          <w:color w:val="000000"/>
          <w:sz w:val="24"/>
          <w:szCs w:val="24"/>
          <w:rtl w:val="0"/>
        </w:rPr>
        <w:t xml:space="preserve">Research Problems</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there are several questions at the core of the analysis. The questions are listed as follows.</w:t>
      </w:r>
    </w:p>
    <w:p w:rsidR="00000000" w:rsidDel="00000000" w:rsidP="00000000" w:rsidRDefault="00000000" w:rsidRPr="00000000" w14:paraId="0000000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fear in ‘Lucille’ described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script series? </w:t>
      </w:r>
    </w:p>
    <w:p w:rsidR="00000000" w:rsidDel="00000000" w:rsidP="00000000" w:rsidRDefault="00000000" w:rsidRPr="00000000" w14:paraId="0000000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Power Dynamics Represent Fear in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Script Series? </w:t>
      </w:r>
    </w:p>
    <w:p w:rsidR="00000000" w:rsidDel="00000000" w:rsidP="00000000" w:rsidRDefault="00000000" w:rsidRPr="00000000" w14:paraId="0000000F">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 of the study</w:t>
      </w:r>
    </w:p>
    <w:p w:rsidR="00000000" w:rsidDel="00000000" w:rsidP="00000000" w:rsidRDefault="00000000" w:rsidRPr="00000000" w14:paraId="0000001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research problem, this study will have objectives as follows: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To describe how fear in ‘Lucille’ is described in </w:t>
      </w:r>
      <w:r w:rsidDel="00000000" w:rsidR="00000000" w:rsidRPr="00000000">
        <w:rPr>
          <w:rFonts w:ascii="Times New Roman" w:cs="Times New Roman" w:eastAsia="Times New Roman" w:hAnsi="Times New Roman"/>
          <w:i w:val="1"/>
          <w:iCs w:val="1"/>
          <w:sz w:val="24"/>
          <w:szCs w:val="24"/>
          <w:highlight w:val="white"/>
          <w:rtl w:val="0"/>
        </w:rPr>
        <w:t xml:space="preserve">The Walking Dead</w:t>
      </w:r>
      <w:r w:rsidDel="00000000" w:rsidR="00000000" w:rsidRPr="00000000">
        <w:rPr>
          <w:rFonts w:ascii="Times New Roman" w:cs="Times New Roman" w:eastAsia="Times New Roman" w:hAnsi="Times New Roman"/>
          <w:sz w:val="24"/>
          <w:szCs w:val="24"/>
          <w:highlight w:val="white"/>
          <w:rtl w:val="0"/>
        </w:rPr>
        <w:t xml:space="preserve"> script series.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To describe how Power Dynamics Represent Fear in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script series.</w:t>
      </w:r>
      <w:r w:rsidDel="00000000" w:rsidR="00000000" w:rsidRPr="00000000">
        <w:rPr>
          <w:rtl w:val="0"/>
        </w:rPr>
      </w:r>
    </w:p>
    <w:p w:rsidR="00000000" w:rsidDel="00000000" w:rsidP="00000000" w:rsidRDefault="00000000" w:rsidRPr="00000000" w14:paraId="00000013">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hopefully can be useful both theoretically and practically, and methodologically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Theoretically, this </w:t>
      </w: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is expected to deepen the understanding of power dynamics and fear manipulation through symbols, especially in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The Walking Dead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analyzing the role of Lucille as a symbol of power and fear using the semiotic theory of Roland Barthes, this study can provide a deeper understanding of how symbols function in shaping meaning and controlling social structures. In addition, this </w:t>
      </w: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may also add insight into the relationship between fear, power, and control in post-apocalyptic narratives.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 practical terms, this </w:t>
      </w: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is expected to help readers understand how symbols, such as Lucille, have an important role in shaping power dynamics and how fear can be used as a tool for domination. It is hoped that the results of this </w:t>
      </w: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can provide insight into the application of these concepts in real life, especially in understanding how fear and power operate in society. In addition, this </w:t>
      </w: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can serve as a reference for future research related to power, fear, and symbolism in popular culture and provide a basis for researchers or authors interested in exploring similar topics.</w:t>
      </w:r>
    </w:p>
    <w:p w:rsidR="00000000" w:rsidDel="00000000" w:rsidP="00000000" w:rsidRDefault="00000000" w:rsidRPr="00000000" w14:paraId="00000017">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Methodologically, this study introduces a specific approach to applying Roland Barthes semiotic framework, which includes denotations, connotations, and myths, to examine singular and iconic objects in popular culture. This method illustrates the effectiveness of Barthes framework in unraveling the layers of meaning of a symbolic material artifact (Lucille, the barbed baseball bat), particularly in shaping complex power dynamics and psychological phenomena such as fear in narrative works. Thus, this research has the potential to serve as a reference source for researchers who explore the semiotics of physical objects, particularly those that function as tools of violence or control, in both the context of social fiction and everyday reality.</w:t>
      </w:r>
      <w:r w:rsidDel="00000000" w:rsidR="00000000" w:rsidRPr="00000000">
        <w:rPr>
          <w:rtl w:val="0"/>
        </w:rPr>
      </w:r>
    </w:p>
    <w:p w:rsidR="00000000" w:rsidDel="00000000" w:rsidP="00000000" w:rsidRDefault="00000000" w:rsidRPr="00000000" w14:paraId="00000018">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Scope of the study</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structural coherence in this study and so as not to deviate far from the purpose of the research, the researcher determined the scope of this study, namely, the focus of this study is analytical research using the semiotics theory of Roland Barthes. This study examines how the symbol of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represents the dynamics of power and fear, as well as how the symbol affects social structure and control in a post-apocalyptic narrative. The study also explores how fear is produced and maintained through the symbol of Lucille, its implications for the relationships between characters, and the depiction of power in a fictional world that can reflect social realities in the real world.</w:t>
      </w:r>
    </w:p>
    <w:p w:rsidR="00000000" w:rsidDel="00000000" w:rsidP="00000000" w:rsidRDefault="00000000" w:rsidRPr="00000000" w14:paraId="0000001A">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Definition of Terminology</w:t>
      </w:r>
    </w:p>
    <w:p w:rsidR="00000000" w:rsidDel="00000000" w:rsidP="00000000" w:rsidRDefault="00000000" w:rsidRPr="00000000" w14:paraId="0000001B">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To avoid misunderstanding in this study, the writer provides an explanation of the terms used in the study as follows:</w:t>
      </w:r>
      <w:r w:rsidDel="00000000" w:rsidR="00000000" w:rsidRPr="00000000">
        <w:rPr>
          <w:rtl w:val="0"/>
        </w:rPr>
      </w:r>
    </w:p>
    <w:p w:rsidR="00000000" w:rsidDel="00000000" w:rsidP="00000000" w:rsidRDefault="00000000" w:rsidRPr="00000000" w14:paraId="0000001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Dynamics</w:t>
      </w:r>
    </w:p>
    <w:p w:rsidR="00000000" w:rsidDel="00000000" w:rsidP="00000000" w:rsidRDefault="00000000" w:rsidRPr="00000000" w14:paraId="0000001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Michel Foucault (1995), power dynamics refer to how power is distributed and applied in social relations. Power not only flows from top to bottom but is spread in various forms of social interaction, be it in individual, group, or institutional relationships. In the media context, power dynamics refers to how the characters or groups in a story play a role in defending, challenging, or dominating each other's power.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power dynamics are related to how characters like Negan use power to control other groups and how other characters respond and try to reclaim that power.</w:t>
      </w:r>
    </w:p>
    <w:p w:rsidR="00000000" w:rsidDel="00000000" w:rsidP="00000000" w:rsidRDefault="00000000" w:rsidRPr="00000000" w14:paraId="0000001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Fear Representation </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the media or narrative describes the experience of fear felt by a character or audience. Susan Sontag (2004) suggests that fear in the media is often used to describe a more significant threat to social or individual well-being.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fear is portrayed visually and narratively through the threat of zombies and authoritarian rulers like Negan. This representation of fear occurs not only through physical tension but also in the psychological and emotional tension experienced by the characters involved.</w:t>
      </w:r>
    </w:p>
    <w:p w:rsidR="00000000" w:rsidDel="00000000" w:rsidP="00000000" w:rsidRDefault="00000000" w:rsidRPr="00000000" w14:paraId="0000002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Semiotics</w:t>
        <w:br w:type="textWrapping"/>
      </w:r>
      <w:r w:rsidDel="00000000" w:rsidR="00000000" w:rsidRPr="00000000">
        <w:rPr>
          <w:rFonts w:ascii="Times New Roman" w:cs="Times New Roman" w:eastAsia="Times New Roman" w:hAnsi="Times New Roman"/>
          <w:sz w:val="24"/>
          <w:szCs w:val="24"/>
          <w:rtl w:val="0"/>
        </w:rPr>
        <w:t xml:space="preserve">Ferdinand de Saussure (1916) explains that semiotics is the study of the signs and symbols that form meaning in language and communication. Semiotics investigates how signs (such as words, images, sounds, or actions) shape perceptions and meanings in culture. In the context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semiotics focuses on how visual images, dialogue, and objects (such as weapons or Lucille, Negan's baseball bat) are used to convey key themes, such as power and fear, and form a deeper meaning of the narrative.</w:t>
      </w:r>
    </w:p>
    <w:p w:rsidR="00000000" w:rsidDel="00000000" w:rsidP="00000000" w:rsidRDefault="00000000" w:rsidRPr="00000000" w14:paraId="00000021">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LITERATURE REVIEWS AND THEORETICAL FRAMEWORK</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investigates power dynamics and fear representation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through Lucille's symbolism. To this end, the researchers reviewed existing literature on related themes. The analysis will focus on Lucille's role as a symbol, revealing the relationship between power and fear in a post-apocalyptic setting. The findings are anticipated to enhance the comprehension of relevant social and psychological issues.</w:t>
      </w:r>
      <w:r w:rsidDel="00000000" w:rsidR="00000000" w:rsidRPr="00000000">
        <w:rPr>
          <w:rtl w:val="0"/>
        </w:rPr>
      </w:r>
    </w:p>
    <w:p w:rsidR="00000000" w:rsidDel="00000000" w:rsidP="00000000" w:rsidRDefault="00000000" w:rsidRPr="00000000" w14:paraId="00000023">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Review of Previous Studies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previous studies concerning this topic are analyzed. Specific journal articles have been reviewed, as listed below:</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Rizki (2022) conducted a study entitled Analisis Semiotika pada Kumpulan Lagu Karya Mahalini Raharja. The research paper focuses on the semiotics of Ferdinand de Saussure, specifically the concept of markers and signs, as applied to a collection of songs by Mahalini Raharja. It aims to describe, analyze, and interpret these semiotic elements in the lyrics of songs such as "Kisah Sempurna," "Sisa Rasa," "Melawan Restu," and "Bawa Dia Kembali." This study uses a qualitative approach that aims to understand the phenomena experienced by the subjects, such as actions and motivations, expressed in words and language in a natural context. Data collection techniques include non-participant observation and literature studies, in which researchers observe subjects without direct involvement and record data from existing literature. The results showed that Ferdinand de Saussure's semiotic analysis of Mahalini Raharja's songs produced a total of 28 data points. The strength of this study lies in its qualitative approach, allowing for an in-depth analysis of the semiotics in Mahalini Raharja's songs, which provides a rich understanding of the emotional themes of heartbreak and love. This approach allows researchers to interpret lyrics through Ferdinand de Saussure's semiotic theory, improving the understanding of markers and markers in their context in songs. The limitation of this study is that the study focuses only on a specific set of songs, which may not represent the broader spectrum of Mahalini Raharja's work or the diversity of themes in contemporary music. Although previous research has applied Ferdinand de Saussure's semiotic model to understand the meaning of markers and signs in texts, there is still limited research that specifically analyzes how physical objects like Lucille serve as significant symbols of power and create control dynamics in post-apocalyptic narratives such as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Lassa et al. (2022) conducted a study entitled Power Dynamics Among Health Professionals in Nigeria: A Case Study of the Global Fund Policy Process. The research focuses on the dynamics of strength among health professionals in Nigeria, particularly in the context of the Global Fund's policy process. This study uses an in-depth qualitative case study methodology that focuses on Global Fund grants in Nigeria. The data collection involved 34 semi-structured key informant (KII) interviews with participants holding middle to senior positions in organizations involved with the Global Fund's activities. The study reveals that medical professionals in Nigeria maintain a dominant position in health policymaking, largely due to professional monopolies that limit the influence of non-medical experts. The strength of this study lies in its in-depth qualitative approach, utilizing 34 semi-structured key informant interviews and documentary analysis, which provides a powerful insight into the dynamics of power among health professionals in the context of Nigerian policymaking. This data triangulation increases the credibility of the findings. The study's limitation is its focus solely on the Global Fund's Country Coordination Mechanism (CCM), which can limit the generalization of findings to other health policy contexts. In addition, the snapshot nature of cross-sectional observations may ignore the evolution of power dynamics over time. Although research on power dynamics in the health sector has addressed power relations in real-world contexts, there is still limited research exploring how power is represented through specific symbols in popular fiction media. Research on symbols such as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opens up new opportunities to examine how physical objects function as symbols of power that shape fear and control in narratives.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Greening et al. (2022) conducted a study entitled Mental imagery can generate and regulate acquired differential fear conditioned reactivity. The research paper focuses on the role of mental imagery in generating and regulating fear responses through different fear conditioning. It explores how visual imagery can activate and prioritize stimulus representation in the brain, especially in the early visual cortex. The study involved thirteen participants (6 women, 7 men) from the University of Southern California, all of whom gave consent and had no history of psychological or neurological disorders. Two trials were conducted over two days, using fMRI combined with skin conductance response (SCR) recordings and self-reported measures of fear and imagery. The study found that mental imagery can generate and regulate different fear conditioned responses, evidenced by self-reported fears and greater physiological responses when imagining fear-conditioned stimuli compared to safe stimuli. The study demonstrated a strong ability to generate and regulate fear responses through mental imagery, evidenced by significant conditioned responses measured by self-reported fears and physiological indicators such as skin conductance response (SCR) and brain activity in the anterior insula. The limitation noted is the relatively small sample size, which can affect the generalization of the findings. Although previous research has uncovered the role of mental imagery in triggering the fear response, there is still limited research specifically exploring how physical objects, such as weapons, evoke fear in violent media and carry power dynamics, as seen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Beuret &amp; Brown (2017) conducted a study entitled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the Anthropocene as a ruined Earth. The research paper discusses the Anthropocene as a geological epoch characterized by a significant impact of humanity on Earth, leading to a state of ecological vulnerability. It criticizes the idea of man's mastery over nature, instead suggesting that humanity exists in a constant state of vulnerability and survival. This paper uses the TV show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as a lens to explore these themes, describing how survival in a post-collapse world emphasizes the care, repair, and maintenance of social relationships amidst the ruins. This narrative reflects broader political implications for understanding life and community in the Anthropocene. The research methods used in this study involve a critical analysis of the popular TV show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as a narrative framework to explore the political significance of the Anthropocene. The authors used a qualitative approach, examining the themes of survival, care, and community formation in a post-collapse world. This study paper explores the implications of the Anthropocene through the lens of the TV show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emphasizing humanity's vulnerability in a post-collapse world. The narrative depicts the shift from mastery of nature to a state of care and repair, highlighting the tension between mere survival and creating meaningful life amidst the rubble. The strength of the research lies in the exploration of the Anthropocene through the lens of popular culture, specifically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which highlights the political significance of survival and community in a world marked by ecological collapse. This approach provides a unique perspective on the interaction between human vulnerability and environmental conditions, emphasizing the need for care and improvement in political praxis. The study's limitation is its reliance on speculative fiction, which may not fully capture the complexity of real-world political and ecological issues, potentially oversimplifying the dynamics of survival and community formation. Previous research on the Anthropocene era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has focused more on environmental vulnerability and its impact on humans, but has not sufficiently explored the symbolic role of objects like Lucille as tools of power that influence the characters' psychology and assert dominance in post-apocalyptic narratives.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Lickhardt (2017) conducted a study entitled Game Logic in the TV Series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On Transmedial Plot Structures and Character Layouts. The research paper discusses the narrative structure and character dynamics in the TV series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emphasizing its relationship to computer games and gameplay. He argues that the series operates under a humorous logic, where characters face life-or-death decisions similar to those in adventure games.  The research methods used in the analysis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involve a qualitative approach, focusing on narrative structure and character development in the series. This study examines aspects of transmedial storytelling, specifically the relationship between TV series and their source material, graphic novels, and their relationship to computer games. The research paper discusses the narrative structure and character dynamics in the TV series The Walking Dead, emphasizing its relationship to game logic and transmedia storytelling. It highlights how the series simulates aspects of adventure games, with characters facing life-or-death decisions and survival challenges.  The strength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lies in its ability to simulate the decision-making process found in computer games, creating hilarious logic that engages viewers in survival scenarios and moral dilemmas. This gamification increases audience interaction and emotional investment in the character's fate. However, the limitation is the simple narrative structure of the series, which often lacks complex character motivations and can lead to predictable outcomes. The focus on survival can mask deeper thematic exploration, resulting in a recurring cycle of conflict without significant character development. Although there is a focus on transmediacy in the adaptation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research is still limited in analyzing the symbolic role of objects that symbolize power and fear, such as Lucille, which has a powerful influence on the characters' dynamics.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Fernández Villa et al. (2019) conducted a study entitled Learning of two semiotic concepts for film analysis. The research paper focuses on semiotic analysis in film, specifically through the concepts of ocularization and auricularization. Semiotics studies communication systems and the properties of signs, which are essential for understanding human activity. The research paper focuses on a semiotic analysis of the short film </w:t>
      </w:r>
      <w:r w:rsidDel="00000000" w:rsidR="00000000" w:rsidRPr="00000000">
        <w:rPr>
          <w:rFonts w:ascii="Times New Roman" w:cs="Times New Roman" w:eastAsia="Times New Roman" w:hAnsi="Times New Roman"/>
          <w:i w:val="1"/>
          <w:iCs w:val="1"/>
          <w:sz w:val="24"/>
          <w:szCs w:val="24"/>
          <w:rtl w:val="0"/>
        </w:rPr>
        <w:t xml:space="preserve">"El Más Fuerte"</w:t>
      </w:r>
      <w:r w:rsidDel="00000000" w:rsidR="00000000" w:rsidRPr="00000000">
        <w:rPr>
          <w:rFonts w:ascii="Times New Roman" w:cs="Times New Roman" w:eastAsia="Times New Roman" w:hAnsi="Times New Roman"/>
          <w:sz w:val="24"/>
          <w:szCs w:val="24"/>
          <w:rtl w:val="0"/>
        </w:rPr>
        <w:t xml:space="preserve"> from the 2014 film "</w:t>
      </w:r>
      <w:r w:rsidDel="00000000" w:rsidR="00000000" w:rsidRPr="00000000">
        <w:rPr>
          <w:rFonts w:ascii="Times New Roman" w:cs="Times New Roman" w:eastAsia="Times New Roman" w:hAnsi="Times New Roman"/>
          <w:i w:val="1"/>
          <w:iCs w:val="1"/>
          <w:sz w:val="24"/>
          <w:szCs w:val="24"/>
          <w:rtl w:val="0"/>
        </w:rPr>
        <w:t xml:space="preserve">Relatos Salvajes"</w:t>
      </w:r>
      <w:r w:rsidDel="00000000" w:rsidR="00000000" w:rsidRPr="00000000">
        <w:rPr>
          <w:rFonts w:ascii="Times New Roman" w:cs="Times New Roman" w:eastAsia="Times New Roman" w:hAnsi="Times New Roman"/>
          <w:sz w:val="24"/>
          <w:szCs w:val="24"/>
          <w:rtl w:val="0"/>
        </w:rPr>
        <w:t xml:space="preserve">. It explores how the concepts of ocularization and auricularization are used in film to convey narratives through visual and auditory elements. This study uses a semiotic analysis framework. The methodology involves analyzing shot selection, angles, and voice manipulation to understand narrative structure and viewer engagement. The findings of the study highlight the significant use of ocularization and zero auricularization in the short film </w:t>
      </w:r>
      <w:r w:rsidDel="00000000" w:rsidR="00000000" w:rsidRPr="00000000">
        <w:rPr>
          <w:rFonts w:ascii="Times New Roman" w:cs="Times New Roman" w:eastAsia="Times New Roman" w:hAnsi="Times New Roman"/>
          <w:i w:val="1"/>
          <w:iCs w:val="1"/>
          <w:sz w:val="24"/>
          <w:szCs w:val="24"/>
          <w:rtl w:val="0"/>
        </w:rPr>
        <w:t xml:space="preserve">"El Más Fuerte"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"Relatos Salvajes.</w:t>
      </w:r>
      <w:r w:rsidDel="00000000" w:rsidR="00000000" w:rsidRPr="00000000">
        <w:rPr>
          <w:rFonts w:ascii="Times New Roman" w:cs="Times New Roman" w:eastAsia="Times New Roman" w:hAnsi="Times New Roman"/>
          <w:sz w:val="24"/>
          <w:szCs w:val="24"/>
          <w:rtl w:val="0"/>
        </w:rPr>
        <w:t xml:space="preserve">". The analysis reveals that sound and image manipulation in cinemas plays an important role in shaping viewers' perspectives and expectations. The strength of the research lies in the application of semiotic concepts, specifically ocularization and auricularization, to analyze the short film </w:t>
      </w:r>
      <w:r w:rsidDel="00000000" w:rsidR="00000000" w:rsidRPr="00000000">
        <w:rPr>
          <w:rFonts w:ascii="Times New Roman" w:cs="Times New Roman" w:eastAsia="Times New Roman" w:hAnsi="Times New Roman"/>
          <w:i w:val="1"/>
          <w:iCs w:val="1"/>
          <w:sz w:val="24"/>
          <w:szCs w:val="24"/>
          <w:rtl w:val="0"/>
        </w:rPr>
        <w:t xml:space="preserve">"El Más Fuerte</w:t>
      </w:r>
      <w:r w:rsidDel="00000000" w:rsidR="00000000" w:rsidRPr="00000000">
        <w:rPr>
          <w:rFonts w:ascii="Times New Roman" w:cs="Times New Roman" w:eastAsia="Times New Roman" w:hAnsi="Times New Roman"/>
          <w:sz w:val="24"/>
          <w:szCs w:val="24"/>
          <w:rtl w:val="0"/>
        </w:rPr>
        <w:t xml:space="preserve">," providing a nuanced understanding of how visual and auditory elements shape the viewer's narrative and perception. This approach allows for a deeper exploration of film storytelling techniques and the role of screenwriters in constructing meaning. The limitation of this study is its focus on one film, which may limit the generalization of findings to other cinematic works. The analysis may not explain the diverse narrative styles and techniques that exist in different genres. Semiotic analysis of narrative in film generally concentrates on the role of the narrator and visual techniques, but there is still a lack of research that addresses how the symbolism of certain objects can affect character interactions and the audience's perception of power dynamics in narrative.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 et al. (2022) conducted a study entitled Rethinking utopian and dystopian imagination in island literature and culture. The research paper discusses the concept of utopian and dystopian islands in various cultural traditions, especially contrasting Western and non-Western perspectives. It highlights how Western literary imaginations of ideal islands often reflect imperialist rhetoric, contributing to colonial exploitation. The tension between utopia and dystopia is emphasized as a fundamental aspect of this imagination, which has been imposed on non-Western cultures. The research methods used in this study involve a decolonial approach to island studies, focusing on the interrogation of Western-centric narratives and the exploration of non-Western perspectives on utopian and dystopian island imaginations. The contributors used an interdisciplinary methodology, drawing from various cultural traditions to analyze the complexity of island representations. The research paper explores the complex interplay between utopian and dystopian imaginations in island literature and culture, emphasizing the colonial implications of these narratives. It highlights how the concept of Western utopian islands has historically contributed to colonial exploitation, while non-Western cultures have engaged in decolonial practices to reshape this narrative. This paper discusses the unique characteristics of China's utopian imagination, comparing it to Western stereotypes. It also addresses the need for intellectual decolonization in island studies, advocating the recognition of diverse cultural perspectives and the importance of understanding islands outside the Western paradigm. The strength of the research lies in its focus on the intercultural qualities of utopian and dystopian island visions, contributing to decolonization efforts in island studies by examining diverse cultural traditions. A limitation is the continued dominance of Western epistemology in the international academic community, which complicates the process of decolonization and can hinder full recognition of indigenous knowledge systems.  Although previous literature has explored the concepts of utopia and dystopia in various cultures, research highlighting how certain symbols, such as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create dystopian imaginations through representations of power and fear in post-apocalyptic narratives is still rare.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 Moor (2022) conducted a study entitled Postapocalyptic narratives in climate activism: their place and impact in five European cities. The research paper explores the concept of a postapocalyptic environment in climate activism, particularly in five European cities: Malmö, Hamburg, Antwerp, Bristol, and Manchester. It defines a postapocalyptic environment as a narrative that assumes disasters already exist or are unavoidable, in contrast to apocalyptic environments, which warn of future disasters if action is not taken. The study used a qualitative study design, focusing on climate activism in five European cities: Malmö, Hamburg, Antwerp, Bristol, and Manchester. Data collection involved ethnographic observations and 46 qualitative interviews, usually lasting one to one and a half hours, which were recorded and transcribed. The study explored the relationship between climate activists and postapocalyptic narratives in five European cities: Malmö, Hamburg, Antwerp, Bristol, and Manchester. It found that although the post-apocalyptic environment is prevalent, it often complements rather than replaces apocalyptic narratives, with both types present in activist discourse. The power of postapocalyptic narratives in climate activism lies in their ability to foster a sense of urgency and motivate action against climate change, even amid widespread pessimism about mitigation efforts. These narratives can inspire activists to engage in meaningful discussions about adaptation and resilience strategies, as seen in some groups that have begun to explore these topics more deeply. However, a significant limitation is that many climate movements prioritize mitigation over adaptation, often relegating post-apocalyptic discussions to informal spaces, limiting strategic planning and engagement with urgent climate disruptions.  While some studies have addressed the role of apocalyptic and postapocalyptic narratives in driving collective action in the realm of environmental activism, there have not been many studies that have analyzed how symbols in fictional apocalyptic narratives, such as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serve to shape perceptions of fear and control in a post-apocalyptic world.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Looi et al. (2020) conducted a study entitled Fire, disease and fear: Effects of the media coverage of 2019–2020 Australian bushfires and novel coronavirus 2019 on population mental health. The research paper focuses on the effects of media coverage during the 2019-2020 Australian bushfires and the novel coronavirus pandemic on the mental health of the population. This paper discusses concepts such as availability cascades, negative biases, and social contagion, which inform the psychological aspects of disaster media management. This study uses a qualitative method. The research paper discusses the effects of media coverage of the 2019-2020 Australian bushfires and the COVID-19 pandemic on the mental health of the population. It highlights that sensational media coverage can exacerbate feelings of fear and anxiety, leading to increased post-traumatic stress symptoms and negative psychological outcomes. The authors emphasize the role of the availability cascade, negative bias, and social contagion in shaping public perceptions and mental health responses. They advocate for accurate risk communication by emergency management personnel to reduce the adverse effects of media exposure on mental health, especially during disasters. The strength of the research lies in its focus on the psychological impact of media coverage during important events, such as the 2019-2020 Australian bushfires and the COVID-19 pandemic, highlighting the role of availability cascades and negative biases in shaping public perceptions and mental health outcomes. This provides valuable insights into developing mental health-informed media guidelines. The limitations of this study are the reliance on the existing literature and the need for further empirical research to establish a cause-and-effect relationship between media exposure and mental health effects, especially in the context of social media.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Paskaleva (2024) conducted a study entitled Pre-structuralist semiology: materiality of language in Ferdinand de Saussure. This study aims to re-examine Ferdinand de Saussure's contribution to linguistics, particularly in relation to semiotics and structuralism of the twentieth century. It focuses on the script "On the Dual Essence of Language," which reveals aspects of Saussure's thought that have not been explored before. The research methodology involves re-examining Ferdinand de Saussure's linguistic theories, focusing primarily on his manuscript "On the Dual Essence of Language." This manuscript, published in 2002, provides insight into Saussure's thinking about the nature of linguistic signs and the process of significance. The study systematically used semiological and semiological terms to align with Saussure's original skeleton, distinguishing it from semiotics. This study paper examines Ferdinand de Saussure's contributions to linguistics and semiology, focusing primarily on his manuscript "On the Dual Essence of Language." It highlights Saussure's rejection of the traditional view of linguistic signs as simply a combination of markers and signs, instead proposing complex relationships determined by differences in a system. The strength of Saussure's linguistic theory lies in its emphasis on the relational nature of signs, highlighting that meaning arises from the differences between signs rather than from the intrinsic value of the signs themselves. This perspective allows for a deeper understanding of language as a dynamic system. However, a limitation of Saussure's approach is the potential for oversimplification of the complex relationship between the marker and the signified, which can lead to an unstable interpretation of meaning. The interdependence of signs can obscure the individual significance of each element in the linguistic system. While Saussure's research on signs has greatly influenced modern semiotics, there has not been much research that has analyzed how symbols such as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can be understood through the relationship between </w:t>
      </w:r>
      <w:r w:rsidDel="00000000" w:rsidR="00000000" w:rsidRPr="00000000">
        <w:rPr>
          <w:rFonts w:ascii="Times New Roman" w:cs="Times New Roman" w:eastAsia="Times New Roman" w:hAnsi="Times New Roman"/>
          <w:i w:val="1"/>
          <w:iCs w:val="1"/>
          <w:sz w:val="24"/>
          <w:szCs w:val="24"/>
          <w:rtl w:val="0"/>
        </w:rPr>
        <w:t xml:space="preserve">signifiers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signifieds</w:t>
      </w:r>
      <w:r w:rsidDel="00000000" w:rsidR="00000000" w:rsidRPr="00000000">
        <w:rPr>
          <w:rFonts w:ascii="Times New Roman" w:cs="Times New Roman" w:eastAsia="Times New Roman" w:hAnsi="Times New Roman"/>
          <w:sz w:val="24"/>
          <w:szCs w:val="24"/>
          <w:rtl w:val="0"/>
        </w:rPr>
        <w:t xml:space="preserve">, as well as how these symbols affect perceptions of power and fear in narratives.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Ehrlich (2019) conducted a study entitled </w:t>
      </w:r>
      <w:r w:rsidDel="00000000" w:rsidR="00000000" w:rsidRPr="00000000">
        <w:rPr>
          <w:rFonts w:ascii="Times New Roman" w:cs="Times New Roman" w:eastAsia="Times New Roman" w:hAnsi="Times New Roman"/>
          <w:i w:val="1"/>
          <w:iCs w:val="1"/>
          <w:sz w:val="24"/>
          <w:szCs w:val="24"/>
          <w:rtl w:val="0"/>
        </w:rPr>
        <w:t xml:space="preserve">'Well, I Saw the Picture'</w:t>
      </w:r>
      <w:r w:rsidDel="00000000" w:rsidR="00000000" w:rsidRPr="00000000">
        <w:rPr>
          <w:rFonts w:ascii="Times New Roman" w:cs="Times New Roman" w:eastAsia="Times New Roman" w:hAnsi="Times New Roman"/>
          <w:sz w:val="24"/>
          <w:szCs w:val="24"/>
          <w:rtl w:val="0"/>
        </w:rPr>
        <w:t xml:space="preserve">: semiotic ideologies and the unsettling of normative conceptions of female sexuality in the Steubenville rape trial. This study aims to analyze how cultural norms around heterosexuality affect legal and social perceptions of rape, especially in the context of the Steubenville rape trial. It seeks to show how social media evidence, especially photographic images, can challenge normative discourses on women's sexuality and consent. This study uses a case study methodology that focuses on the 2013 Steubenville rape trial, analyzing how social media evidence affects the outcome of the trial. This used the transcript of the experiment to understand the interpretation of different types of evidence by the participants of the experiment, especially the importance of semiotic ideology. The research paper examines the impact of social media evidence on the Steubenville rape trial, highlighting how photographic evidence challenges normative conceptions of women's sexuality and consent. He argued that the trial's unique access to real-time visual documentation allowed for a critical reassessment of the defense's claim that the complainant's passivity was equated with consent. The strength of the Steubenville rape trial lies in the crucial role of social media evidence, especially photographic images, which provide real-time reports of the events, challenging the normative narrative of consent based on women's passivity. This evidence helps debunk traditional beliefs about sexual violence and consent, leading to beliefs that may not be the case in typical cases where only oral testimony is available. The limitations of the trial are reliance on semiotic ideologies that may still perpetuate bias, as defenders seek to argue that silence equates to consent, reflecting the society's ongoing misunderstanding of women's sexuality. While semiotic ideology has been applied in legal contexts to explore how digital evidence can challenge traditional norms, there has been no research linking it to cultural semiotics in apocalyptic fiction works. This created space for the study of how symbols like Lucille convey complex ideas of power and dominance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Bruns &amp; Nuernbergk (2019) conducted a study entitled Political Journalists and Their Social Media Audiences: New Power Relations. This study paper examines the interaction between political journalists and their audiences on social media, particularly Twitter, in Germany and Australia. It highlights how social media has transformed journalistic practices, creating a new power dynamic in which journalists compete with various stakeholders for audience attention. The study used a comprehensive dataset of tweets by and directed at political journalists in Australia and Germany during 2017. The official list of journalists accredited to the Australian Federal Press Gallery and the German Bundespressekonferenz is accessed to compile an updated list of current members. This study paper examines the interactions between political journalists and their audiences on Twitter in Germany and Australia, highlighting significant differences in engagement patterns. Australian journalists are more active on Twitter, posting an average of more than four tweets per day compared to 1.7 by their German counterparts. This resulted in Australian journalists receiving more engagement, with 1.9 million retweets and mentions compared to 714,206 for German journalists.  The strength of the research lies in a comprehensive cross-national comparison of political journalists' interactions on Twitter in Germany and Australia, revealing significant differences in engagement patterns and the role of social media in journalism. This analysis provides valuable insights into the evolving power dynamics between journalists and their audiences. A limitation of this study is its focus on one year of data (2017), which may not capture longitudinal trends or the impact of specific political events on social media engagement. In addition, the study did not explore the content of the interaction, which could provide a deeper understanding. Although previous research has addressed the influence of social media on power distribution among political journalists, there are still few studies that address how symbolic representation in apocalyptic media affects audiences' perceptions of social power. Analysis of the Lucille symbol can provide new insights into understanding the dynamics of power through the medium of fiction.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Lopes et al. (2019) conducted a study entitled Modelling Affect for Horror Soundscapes. The research focused on modeling affective responses to horror sound scenes, specifically examining how sound affects emotional states in terms of tension, arousal, and valence. NI explores the creation of a computational model that ranks audio pieces based on crowdsourced annotations, aiming to improve voice-based interactions in games. The study used a crowdsourcing methodology to collect participant annotations on audio samples, focusing on the dimensions of tension, arousal, and valence. The study achieved an average accuracy of 65% for tension, 66% for arousal, and 72% for valence in predicting emotional responses to sound using computational models trained on crowdsourced annotations. The model was developed through preference learning on more than a thousand annotations, using a support vector engine with low-level features extracted from a comprehensive sound library. The strength of the research lies in its ability to create computational models that effectively rank audio pieces based on emotional dimensions such as tension, arousal, and valence, achieving an average accuracy of 65%, 66%, and 72%, respectively, more than 5-fold validation. This capability can significantly assist sound designers in selecting appropriate audio for horror contexts. The identified limitations are the difficulty in accurately predicting arousal compared to tension and valence, potentially due to the complexity of user annotations and the competitive nature of high arousal sounds in horror sound libraries. However, there has been no exploration of how visual objects, especially those with symbolic meanings like Lucille, evoke fear through the construction of meaning and symbolism in horror narratives. This suggests a gap that can be filled by examining the influence of semiotic objects in creating certain emotional responses.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 xml:space="preserve">Skorokhod &amp; Smola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2022) conducted a study entitled Visualization as a Means of Influence (on the Example of Student Periodicals). The research discusses visual communication, especially in the context of student magazines. It defines visual communication as the transmission of information through visual language, which includes images, signs, and infographics, facilitating interaction and understanding among readers. The effectiveness of this communication is assessed through criteria such as visual activity, cognitive perception, and organization of composition.  The study used a combination of methods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including monitoring, content analysis, and comparative analysis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to identify typical forms of visualization in student magazines from Ukraine and Poland, specifically analyzing MAGMA and Supplement magazines. The methodology also uses semantic differential methods to evaluate the effectiveness of visual communication. The research paper focuses on the effectiveness of visual communication in student magazines. It identifies key criteria for effective visual communication, including visual activity, cognitive perception, and organization of compositions. The study highlights the various visualization tools used, such as symbols, infographics, and pictorial content, which aim to engage readers and improve understanding. The strengths of the research include the effective evaluation of visual communication in student magazines, highlighting the complexity and systematic nature of the impact of visualization on the cognitive, affective, conative, and suggestive levels. This comprehensive analysis provides insight into the effectiveness of various visualization tools used in magazines such as Magma and Supplement, demonstrating their role in improving reader engagement and understanding. Limitations may arise from a specific focus on student magazines, which may not be generalized to other types of publications. Additionally, the study may not take into account the varying levels of visual literacy among different demographics of readers.  The visualizations in this study address the affective and suggestive impact of graphic elements, but there has been no in-depth research on how iconic visual objects can direct the audience's perception of power and fear in horror stories. Research on the visual representation of Lucille can help understand how symbolic elements can express power semiotically in the horror genre.</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Mukhlas et al. (2023) conducted a study entitled An Analysis of the Main Character Conflict of the Roommate Movie Script by Sonny Malhi. The research paper provides a comprehensive examination of character conflicts in the script of the film '</w:t>
      </w:r>
      <w:r w:rsidDel="00000000" w:rsidR="00000000" w:rsidRPr="00000000">
        <w:rPr>
          <w:rFonts w:ascii="Times New Roman" w:cs="Times New Roman" w:eastAsia="Times New Roman" w:hAnsi="Times New Roman"/>
          <w:i w:val="1"/>
          <w:iCs w:val="1"/>
          <w:sz w:val="24"/>
          <w:szCs w:val="24"/>
          <w:rtl w:val="0"/>
        </w:rPr>
        <w:t xml:space="preserve">Roommate</w:t>
      </w:r>
      <w:r w:rsidDel="00000000" w:rsidR="00000000" w:rsidRPr="00000000">
        <w:rPr>
          <w:rFonts w:ascii="Times New Roman" w:cs="Times New Roman" w:eastAsia="Times New Roman" w:hAnsi="Times New Roman"/>
          <w:sz w:val="24"/>
          <w:szCs w:val="24"/>
          <w:rtl w:val="0"/>
        </w:rPr>
        <w:t xml:space="preserve">' by Sonny Malhi, focusing on the protagonist, Rebecca Evans. It analyzes its internal and external difficulties, offering insights into character development and psychological dynamics. This study uses a qualitative descriptive methodology to analyze the main character conflict in the script of the film </w:t>
      </w:r>
      <w:r w:rsidDel="00000000" w:rsidR="00000000" w:rsidRPr="00000000">
        <w:rPr>
          <w:rFonts w:ascii="Times New Roman" w:cs="Times New Roman" w:eastAsia="Times New Roman" w:hAnsi="Times New Roman"/>
          <w:i w:val="1"/>
          <w:iCs w:val="1"/>
          <w:sz w:val="24"/>
          <w:szCs w:val="24"/>
          <w:rtl w:val="0"/>
        </w:rPr>
        <w:t xml:space="preserve">'Roommate</w:t>
      </w:r>
      <w:r w:rsidDel="00000000" w:rsidR="00000000" w:rsidRPr="00000000">
        <w:rPr>
          <w:rFonts w:ascii="Times New Roman" w:cs="Times New Roman" w:eastAsia="Times New Roman" w:hAnsi="Times New Roman"/>
          <w:sz w:val="24"/>
          <w:szCs w:val="24"/>
          <w:rtl w:val="0"/>
        </w:rPr>
        <w:t xml:space="preserve">' by Sonny Malhi. Concurrent data collection techniques are used, allowing for a detailed examination of the internal and external tensions faced by the protagonist, Rebecca. The findings of the study suggest that the protagonist, Rebecca Evans, experiences internal and external conflicts throughout the narrative of </w:t>
      </w:r>
      <w:r w:rsidDel="00000000" w:rsidR="00000000" w:rsidRPr="00000000">
        <w:rPr>
          <w:rFonts w:ascii="Times New Roman" w:cs="Times New Roman" w:eastAsia="Times New Roman" w:hAnsi="Times New Roman"/>
          <w:i w:val="1"/>
          <w:iCs w:val="1"/>
          <w:sz w:val="24"/>
          <w:szCs w:val="24"/>
          <w:rtl w:val="0"/>
        </w:rPr>
        <w:t xml:space="preserve">'The Roommate'</w:t>
      </w:r>
      <w:r w:rsidDel="00000000" w:rsidR="00000000" w:rsidRPr="00000000">
        <w:rPr>
          <w:rFonts w:ascii="Times New Roman" w:cs="Times New Roman" w:eastAsia="Times New Roman" w:hAnsi="Times New Roman"/>
          <w:sz w:val="24"/>
          <w:szCs w:val="24"/>
          <w:rtl w:val="0"/>
        </w:rPr>
        <w:t xml:space="preserve">. Internal conflicts arise from her mental state, which leads to possessive and jealous behavior towards her roommate, Sara. External conflicts manifest in her interpersonal tension with Sara and the other characters. The strength of this study lies in the comprehensive examination of character conflicts, especially focusing on Rebecca's internal and external struggles, which improves understanding of narrative dynamics and character development. This analysis provides valuable insights for educators and scholars in the field of literature and film studies. The limitations of the study may be its reliance on qualitative methodologies, which, while thorough, can introduce subjectivity in interpreting character motivations and conflicts. This can affect the generalization of findings across various narratives or cultural contexts. This study discusses the importance of understanding character conflict to increase empathy and cultural understanding, but it does not cover how conflict and power dynamics are reflected through the use of symbolic objects in horror films. This gap can be filled by exploring how Lucille serves as a fear-inducing representation of power, which can be helpful in understanding complex power relationships in the horror genre. </w:t>
      </w:r>
    </w:p>
    <w:p w:rsidR="00000000" w:rsidDel="00000000" w:rsidP="00000000" w:rsidRDefault="00000000" w:rsidRPr="00000000" w14:paraId="00000034">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Review of Related Literature</w:t>
        <w:tab/>
      </w:r>
    </w:p>
    <w:p w:rsidR="00000000" w:rsidDel="00000000" w:rsidP="00000000" w:rsidRDefault="00000000" w:rsidRPr="00000000" w14:paraId="00000035">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The study contains literature and theoretical frameworks as a basis for the study. This literature review includes an in depth exploration of key concepts, namely Semiotics, Power Dynamics in Literature, and the Representation of Fear, which will be used to describe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script series.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Semiotics</w:t>
      </w:r>
      <w:r w:rsidDel="00000000" w:rsidR="00000000" w:rsidRPr="00000000">
        <w:rPr>
          <w:rtl w:val="0"/>
        </w:rPr>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Semiotics is the study of signs and symbols in human communication, exploring how meaning is created and understood. It examines various theories to reveal how these elements convey meaning and influence interactions, highlighting their cultural and societal significance. </w:t>
      </w:r>
      <w:r w:rsidDel="00000000" w:rsidR="00000000" w:rsidRPr="00000000">
        <w:rPr>
          <w:rFonts w:ascii="Times New Roman" w:cs="Times New Roman" w:eastAsia="Times New Roman" w:hAnsi="Times New Roman"/>
          <w:sz w:val="24"/>
          <w:szCs w:val="24"/>
          <w:rtl w:val="0"/>
        </w:rPr>
        <w:t xml:space="preserve">The concept of modern semiotics is rooted in the thought of Ferdinand de Saussure, who defined signs as the relationship between signifiers and signifieds</w:t>
      </w:r>
      <w:r w:rsidDel="00000000" w:rsidR="00000000" w:rsidRPr="00000000">
        <w:rPr>
          <w:rFonts w:ascii="Times New Roman" w:cs="Times New Roman" w:eastAsia="Times New Roman" w:hAnsi="Times New Roman"/>
          <w:sz w:val="24"/>
          <w:szCs w:val="24"/>
          <w:rtl w:val="0"/>
        </w:rPr>
        <w:t xml:space="preserve">. Roland Barthes' semiotic theory, which has significantly impacted literary and cultural studies, asserts that signs consist of a signifier (the form of the sign) and a signified (the concept it represents). Barthes further differentiates between denotation (the literal meaning) and connotation (the cultural or emotional associations), stressing that meanings are not static but are shaped by cultural contexts and social practices (Pramudiyanto et al., n.d., 2025). </w:t>
      </w:r>
      <w:r w:rsidDel="00000000" w:rsidR="00000000" w:rsidRPr="00000000">
        <w:rPr>
          <w:rFonts w:ascii="Times New Roman" w:cs="Times New Roman" w:eastAsia="Times New Roman" w:hAnsi="Times New Roman"/>
          <w:sz w:val="24"/>
          <w:szCs w:val="24"/>
          <w:rtl w:val="0"/>
        </w:rPr>
        <w:t xml:space="preserve">Barthes most important extension is the concept of Myth, in which signs operate at a second level, transforming connotative meanings into ideological narratives that are considered natural or absolute in society.</w:t>
      </w:r>
      <w:r w:rsidDel="00000000" w:rsidR="00000000" w:rsidRPr="00000000">
        <w:rPr>
          <w:rFonts w:ascii="Times New Roman" w:cs="Times New Roman" w:eastAsia="Times New Roman" w:hAnsi="Times New Roman"/>
          <w:sz w:val="24"/>
          <w:szCs w:val="24"/>
          <w:rtl w:val="0"/>
        </w:rPr>
        <w:t xml:space="preserve"> This perspective resonates with contemporary discussions across various fields, such as analyzing material-semiotic environments in health research, which emphasizes the interplay between physical and symbolic elements in shaping experiences and narratives, particularly in rehabilitation contexts (Monforte et al., 2020). Additionally, the application of semiotic theories in archaeology enhances Barthes' framework, bridging gaps in the understanding of the relationship between materiality and representation in cultural artifacts. (Swenson &amp; Cipolla, 2020).</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Power Dynamics in Literature</w:t>
      </w:r>
    </w:p>
    <w:p w:rsidR="00000000" w:rsidDel="00000000" w:rsidP="00000000" w:rsidRDefault="00000000" w:rsidRPr="00000000" w14:paraId="0000003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 Foucault's theory of power offers a nuanced exploration of how power dynamics shape interpersonal relationships, a concept that resonates in fictional narratives found in films and TV series. Foucault asserts that power is both relational and pervasive, functioning through knowledge and social structures rather than solely through authority or position (Ladkin &amp; Probert, 2021). This perspective is vividly illustrated in narratives such as Dave Eggers' "The Circle," where a technology company manipulates digital information to exert control over individuals, thereby transforming societal power structures (Paramagururaj &amp; Subha, 2023). Additionally, Foucault's analysis of biopower reveals how cultural artifacts, including pornography, regulate individual behaviors and identities, reflecting broader societal norms and power relations (Kurylo, 2017). These insights highlight the significance of Foucault's theories in understanding contemporary media representations and their implications for individual autonomy and societal governance (Metzger, 2016).</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Representation of Fear</w:t>
      </w:r>
    </w:p>
    <w:p w:rsidR="00000000" w:rsidDel="00000000" w:rsidP="00000000" w:rsidRDefault="00000000" w:rsidRPr="00000000" w14:paraId="0000003B">
      <w:pPr>
        <w:spacing w:after="240" w:before="240" w:line="36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92929"/>
          <w:sz w:val="24"/>
          <w:szCs w:val="24"/>
          <w:highlight w:val="white"/>
          <w:rtl w:val="0"/>
        </w:rPr>
        <w:t xml:space="preserve">In many works, fear is often conveyed through objects that have symbolic meaning. Therefore, it is important to understand how the concept of representation works.</w:t>
      </w: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360" w:lineRule="auto"/>
        <w:ind w:left="0" w:firstLine="0"/>
        <w:jc w:val="both"/>
        <w:rPr>
          <w:rFonts w:ascii="Times New Roman" w:cs="Times New Roman" w:eastAsia="Times New Roman" w:hAnsi="Times New Roman"/>
          <w:b w:val="1"/>
          <w:bCs w:val="1"/>
          <w:color w:val="000000"/>
        </w:rPr>
      </w:pPr>
      <w:bookmarkStart w:colFirst="0" w:colLast="0" w:name="_gjbkbfyc72fd" w:id="2"/>
      <w:bookmarkEnd w:id="2"/>
      <w:r w:rsidDel="00000000" w:rsidR="00000000" w:rsidRPr="00000000">
        <w:rPr>
          <w:rFonts w:ascii="Times New Roman" w:cs="Times New Roman" w:eastAsia="Times New Roman" w:hAnsi="Times New Roman"/>
          <w:b w:val="1"/>
          <w:bCs w:val="1"/>
          <w:color w:val="000000"/>
          <w:rtl w:val="0"/>
        </w:rPr>
        <w:t xml:space="preserve">Theory of Representation</w:t>
      </w:r>
    </w:p>
    <w:p w:rsidR="00000000" w:rsidDel="00000000" w:rsidP="00000000" w:rsidRDefault="00000000" w:rsidRPr="00000000" w14:paraId="0000003D">
      <w:pPr>
        <w:spacing w:after="240" w:before="240" w:line="360" w:lineRule="auto"/>
        <w:ind w:firstLine="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in its broad theoretical sense, refers to the process by which certain entities (such as images, objects, or linguistic expressions) present or stand for particular contents and meanings. (Plagnol, 2023) Representation works through two complementary elements,  the analogous aspect, which presents the content directly, and the symbolic aspect, which requires an intermediary through the process of interpretation. This process is firmly rooted in semiotics, where signs serve as a mechanism for creating and communicating meaning (Saussure, 1983). Its basic structure depends on the relationship between signifiers and </w:t>
      </w:r>
      <w:r w:rsidDel="00000000" w:rsidR="00000000" w:rsidRPr="00000000">
        <w:rPr>
          <w:rFonts w:ascii="Times New Roman" w:cs="Times New Roman" w:eastAsia="Times New Roman" w:hAnsi="Times New Roman"/>
          <w:i w:val="1"/>
          <w:iCs w:val="1"/>
          <w:sz w:val="24"/>
          <w:szCs w:val="24"/>
          <w:rtl w:val="0"/>
        </w:rPr>
        <w:t xml:space="preserve">signifieds</w:t>
      </w:r>
      <w:r w:rsidDel="00000000" w:rsidR="00000000" w:rsidRPr="00000000">
        <w:rPr>
          <w:rFonts w:ascii="Times New Roman" w:cs="Times New Roman" w:eastAsia="Times New Roman" w:hAnsi="Times New Roman"/>
          <w:sz w:val="24"/>
          <w:szCs w:val="24"/>
          <w:rtl w:val="0"/>
        </w:rPr>
        <w:t xml:space="preserve">, where signifiers (physical forms) represent signifiers (concepts) (Saussure, 1983).  This mechanism of representation facilitates the individual's access to abstract ideas, feelings, and concepts that are outside of direct experience by linking symbolic frameworks to perceptual or cultural meanings. Further, in cultural and media contexts, representation involves different levels of meaning, from denotation (literal) to connotation (cultural association), which shape how a concept is perceived (Barthes, 1967). In the field of literature and visual media, objects often act as representational entities whose significance exceeds their physical form, thus being able to communicate emotional, psychological, or thematic nuances. Understanding this theoretical foundation is crucial before examining how fear is represented through objects, given that the emotional influence of these objects is highly dependent on the process of representation that combines material existence with symbolic content.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851"/>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representation of fear through objects, especially those related to antagonistic characters, is a multifaceted concept that is explored in various forms of media and literature. In horror cinema, objects of disgust and violence, such as guns, play an important role in inducing fear by </w:t>
      </w:r>
      <w:r w:rsidDel="00000000" w:rsidR="00000000" w:rsidRPr="00000000">
        <w:rPr>
          <w:rFonts w:ascii="Times New Roman" w:cs="Times New Roman" w:eastAsia="Times New Roman" w:hAnsi="Times New Roman"/>
          <w:sz w:val="24"/>
          <w:szCs w:val="24"/>
          <w:rtl w:val="0"/>
        </w:rPr>
        <w:t xml:space="preserve">eliciting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rational and emotional response (Sopuck, 2021). This is in line with the idea that objects can manifest fear through the presence of matter and their symbolic associations. Jeong-ok Oh's study further elaborates on this by examining how elements such as "fire" and "water" in folklore are not only the environment but </w:t>
      </w:r>
      <w:r w:rsidDel="00000000" w:rsidR="00000000" w:rsidRPr="00000000">
        <w:rPr>
          <w:rFonts w:ascii="Times New Roman" w:cs="Times New Roman" w:eastAsia="Times New Roman" w:hAnsi="Times New Roman"/>
          <w:sz w:val="24"/>
          <w:szCs w:val="24"/>
          <w:rtl w:val="0"/>
        </w:rPr>
        <w:t xml:space="preserve">also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serve as archetypal symbols of fear and death, enhancing the terrifying qualities of the narrative when combined with bewitching entities such as tigers (Oh, 2022). In literature, as seen in Stephen King's analysis of "It", fear is amplified through narrative techniques that make the impossible scary, while cinematic adaptations use visual elements to evoke fear in the listener (Costa &amp; Sales Araújo, 2021). The affective aesthetics of fictional objects, such as those explored by Alaa Ali, highlight how objects in contemporary fiction can evoke fear through their association with bad themes, thus creating a triangular relationship between influence, aesthetics, and objects (Ramos, 2022). Historical perspectives on materiality and emotions, including fear, across different cultures and time periods, further underscore their role as "emotional objects" with agency (Downes et al., 2018). Collectively, these studies illustrate how objects, whether through physical presence, symbolic meaning, or narrative function, serve as powerful conduits for fear, reinforcing their role in literature and visual media.</w:t>
      </w:r>
      <w:r w:rsidDel="00000000" w:rsidR="00000000" w:rsidRPr="00000000">
        <w:rPr>
          <w:rtl w:val="0"/>
        </w:rPr>
      </w:r>
    </w:p>
    <w:p w:rsidR="00000000" w:rsidDel="00000000" w:rsidP="00000000" w:rsidRDefault="00000000" w:rsidRPr="00000000" w14:paraId="0000003F">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Theoretical Framework</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concepts of Roland Barthes' semiotic theory are employed, focusing mainly on his notions of denotation, connotation, and myth. Denotation refers to the literal meaning of a sign, while connotation encompasses the cultural and emotional associations linked to that sign. Barthes  idea of myth further investigates how these signs contribute to broader ideological narratives within a cultural framework. An analysis of power is conducted by examining how specific signs or symbols, such as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convey connotations of power and intimidation, with these connotations being elevated to a mythic level within the narrative.</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representation of fear is elucidated through examining the connotative meanings that evoke emotional responses, such as fear. Lucille functions as a symbol that denotes not just a weapon but also connotes dominance and terror, forming part of the mythic narrative surrounding power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In this context, Lucille, a baseball bat wrapped in barbed wire, is analyzed as a sign operating on multiple levels: denotation (a brutal weapon), connotation (a symbol of control and fear), and myth (a representation of unchallengeable authority). This layered analysis provides a deeper understanding of how power and fear are constructed and conveyed within the storyline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Theoretical Framework of Power Dynamics as Representation of Fear in ‘Lucille’ in “</w:t>
      </w:r>
      <w:r w:rsidDel="00000000" w:rsidR="00000000" w:rsidRPr="00000000">
        <w:rPr>
          <w:rFonts w:ascii="Times New Roman" w:cs="Times New Roman" w:eastAsia="Times New Roman" w:hAnsi="Times New Roman"/>
          <w:b w:val="1"/>
          <w:bCs w:val="1"/>
          <w:i w:val="1"/>
          <w:iCs w:val="1"/>
          <w:sz w:val="24"/>
          <w:szCs w:val="24"/>
          <w:rtl w:val="0"/>
        </w:rPr>
        <w:t xml:space="preserve">The Walking Dead</w:t>
      </w:r>
      <w:r w:rsidDel="00000000" w:rsidR="00000000" w:rsidRPr="00000000">
        <w:rPr>
          <w:rFonts w:ascii="Times New Roman" w:cs="Times New Roman" w:eastAsia="Times New Roman" w:hAnsi="Times New Roman"/>
          <w:b w:val="1"/>
          <w:bCs w:val="1"/>
          <w:sz w:val="24"/>
          <w:szCs w:val="24"/>
          <w:rtl w:val="0"/>
        </w:rPr>
        <w:t xml:space="preserve">” Script Series</w:t>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480</wp:posOffset>
                </wp:positionH>
                <wp:positionV relativeFrom="paragraph">
                  <wp:posOffset>219075</wp:posOffset>
                </wp:positionV>
                <wp:extent cx="5039995" cy="3365975"/>
                <wp:effectExtent b="0" l="0" r="0" t="0"/>
                <wp:wrapNone/>
                <wp:docPr id="1" name=""/>
                <a:graphic>
                  <a:graphicData uri="http://schemas.microsoft.com/office/word/2010/wordprocessingGroup">
                    <wpg:wgp>
                      <wpg:cNvGrpSpPr/>
                      <wpg:grpSpPr>
                        <a:xfrm>
                          <a:off x="1290325" y="297350"/>
                          <a:ext cx="5039995" cy="3365975"/>
                          <a:chOff x="1290325" y="297350"/>
                          <a:chExt cx="8011650" cy="5367700"/>
                        </a:xfrm>
                      </wpg:grpSpPr>
                      <wpg:grpSp>
                        <wpg:cNvGrpSpPr/>
                        <wpg:grpSpPr>
                          <a:xfrm>
                            <a:off x="1290325" y="312001"/>
                            <a:ext cx="8011650" cy="5345743"/>
                            <a:chOff x="0" y="-593425"/>
                            <a:chExt cx="5555544" cy="4677350"/>
                          </a:xfrm>
                        </wpg:grpSpPr>
                        <wps:wsp>
                          <wps:cNvSpPr/>
                          <wps:cNvPr id="3" name="Shape 3"/>
                          <wps:spPr>
                            <a:xfrm>
                              <a:off x="0" y="0"/>
                              <a:ext cx="5486400" cy="408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5500" lIns="105500" spcFirstLastPara="1" rIns="105500" wrap="square" tIns="105500">
                            <a:noAutofit/>
                          </wps:bodyPr>
                        </wps:wsp>
                        <wpg:grpSp>
                          <wpg:cNvGrpSpPr/>
                          <wpg:grpSpPr>
                            <a:xfrm>
                              <a:off x="69144" y="-593425"/>
                              <a:ext cx="5486400" cy="3829683"/>
                              <a:chOff x="69144" y="-593425"/>
                              <a:chExt cx="5486400" cy="3829683"/>
                            </a:xfrm>
                          </wpg:grpSpPr>
                          <wps:wsp>
                            <wps:cNvSpPr/>
                            <wps:cNvPr id="5" name="Shape 5"/>
                            <wps:spPr>
                              <a:xfrm>
                                <a:off x="69144" y="-35842"/>
                                <a:ext cx="5486400" cy="3272100"/>
                              </a:xfrm>
                              <a:prstGeom prst="rect">
                                <a:avLst/>
                              </a:prstGeom>
                              <a:noFill/>
                              <a:ln>
                                <a:noFill/>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6" name="Shape 6"/>
                            <wps:spPr>
                              <a:xfrm>
                                <a:off x="2743199" y="2335609"/>
                                <a:ext cx="1470819" cy="255266"/>
                              </a:xfrm>
                              <a:custGeom>
                                <a:rect b="b" l="l" r="r" t="t"/>
                                <a:pathLst>
                                  <a:path extrusionOk="0" h="120000" w="120000">
                                    <a:moveTo>
                                      <a:pt x="0" y="0"/>
                                    </a:moveTo>
                                    <a:lnTo>
                                      <a:pt x="0" y="60000"/>
                                    </a:lnTo>
                                    <a:lnTo>
                                      <a:pt x="120000" y="60000"/>
                                    </a:lnTo>
                                    <a:lnTo>
                                      <a:pt x="12000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s:wsp>
                            <wps:cNvSpPr/>
                            <wps:cNvPr id="7" name="Shape 7"/>
                            <wps:spPr>
                              <a:xfrm>
                                <a:off x="2697479" y="2335609"/>
                                <a:ext cx="91440" cy="255266"/>
                              </a:xfrm>
                              <a:custGeom>
                                <a:rect b="b" l="l" r="r" t="t"/>
                                <a:pathLst>
                                  <a:path extrusionOk="0" h="120000" w="120000">
                                    <a:moveTo>
                                      <a:pt x="60000" y="0"/>
                                    </a:moveTo>
                                    <a:lnTo>
                                      <a:pt x="6000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s:wsp>
                            <wps:cNvSpPr/>
                            <wps:cNvPr id="8" name="Shape 8"/>
                            <wps:spPr>
                              <a:xfrm>
                                <a:off x="1272380" y="2335609"/>
                                <a:ext cx="1470819" cy="255266"/>
                              </a:xfrm>
                              <a:custGeom>
                                <a:rect b="b" l="l" r="r" t="t"/>
                                <a:pathLst>
                                  <a:path extrusionOk="0" h="120000" w="120000">
                                    <a:moveTo>
                                      <a:pt x="120000" y="0"/>
                                    </a:moveTo>
                                    <a:lnTo>
                                      <a:pt x="120000" y="60000"/>
                                    </a:lnTo>
                                    <a:lnTo>
                                      <a:pt x="0" y="60000"/>
                                    </a:lnTo>
                                    <a:lnTo>
                                      <a:pt x="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s:wsp>
                            <wps:cNvSpPr/>
                            <wps:cNvPr id="9" name="Shape 9"/>
                            <wps:spPr>
                              <a:xfrm>
                                <a:off x="2697479" y="1472566"/>
                                <a:ext cx="91440" cy="255266"/>
                              </a:xfrm>
                              <a:custGeom>
                                <a:rect b="b" l="l" r="r" t="t"/>
                                <a:pathLst>
                                  <a:path extrusionOk="0" h="120000" w="120000">
                                    <a:moveTo>
                                      <a:pt x="60000" y="0"/>
                                    </a:moveTo>
                                    <a:lnTo>
                                      <a:pt x="6000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s:wsp>
                            <wps:cNvSpPr/>
                            <wps:cNvPr id="10" name="Shape 10"/>
                            <wps:spPr>
                              <a:xfrm>
                                <a:off x="2603842" y="0"/>
                                <a:ext cx="290400" cy="864900"/>
                              </a:xfrm>
                              <a:custGeom>
                                <a:rect b="b" l="l" r="r" t="t"/>
                                <a:pathLst>
                                  <a:path extrusionOk="0" h="120000" w="120000">
                                    <a:moveTo>
                                      <a:pt x="60000" y="0"/>
                                    </a:moveTo>
                                    <a:lnTo>
                                      <a:pt x="6000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s:wsp>
                            <wps:cNvSpPr/>
                            <wps:cNvPr id="11" name="Shape 11"/>
                            <wps:spPr>
                              <a:xfrm>
                                <a:off x="1096040" y="-593425"/>
                                <a:ext cx="1215600" cy="1180800"/>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240" w:before="240" w:line="213.5999965667724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Representation of Fear through Power Dynamics in Lucille</w:t>
                                  </w:r>
                                </w:p>
                              </w:txbxContent>
                            </wps:txbx>
                            <wps:bodyPr anchorCtr="0" anchor="ctr" bIns="105500" lIns="105500" spcFirstLastPara="1" rIns="105500" wrap="square" tIns="105500">
                              <a:noAutofit/>
                            </wps:bodyPr>
                          </wps:wsp>
                          <wps:wsp>
                            <wps:cNvSpPr/>
                            <wps:cNvPr id="12" name="Shape 12"/>
                            <wps:spPr>
                              <a:xfrm>
                                <a:off x="2135423" y="864790"/>
                                <a:ext cx="1215553" cy="607776"/>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13" name="Shape 13"/>
                            <wps:spPr>
                              <a:xfrm>
                                <a:off x="2135423" y="864790"/>
                                <a:ext cx="1215553" cy="607776"/>
                              </a:xfrm>
                              <a:prstGeom prst="rect">
                                <a:avLst/>
                              </a:prstGeom>
                              <a:noFill/>
                              <a:ln>
                                <a:noFill/>
                              </a:ln>
                            </wps:spPr>
                            <wps:txbx>
                              <w:txbxContent>
                                <w:p w:rsidR="00000000" w:rsidDel="00000000" w:rsidP="00000000" w:rsidRDefault="00000000" w:rsidRPr="00000000">
                                  <w:pPr>
                                    <w:spacing w:after="184.61999893188477" w:before="0" w:line="214.99990940093994"/>
                                    <w:ind w:left="0" w:right="0" w:firstLine="0"/>
                                    <w:jc w:val="center"/>
                                    <w:textDirection w:val="btLr"/>
                                  </w:pPr>
                                </w:p>
                                <w:p w:rsidR="00000000" w:rsidDel="00000000" w:rsidP="00000000" w:rsidRDefault="00000000" w:rsidRPr="00000000">
                                  <w:pPr>
                                    <w:spacing w:after="184.61999893188477" w:before="0" w:line="214.99990940093994"/>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The Walking Dead series script</w:t>
                                  </w:r>
                                </w:p>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p>
                              </w:txbxContent>
                            </wps:txbx>
                            <wps:bodyPr anchorCtr="0" anchor="ctr" bIns="8775" lIns="8775" spcFirstLastPara="1" rIns="8775" wrap="square" tIns="8775">
                              <a:noAutofit/>
                            </wps:bodyPr>
                          </wps:wsp>
                          <wps:wsp>
                            <wps:cNvSpPr/>
                            <wps:cNvPr id="14" name="Shape 14"/>
                            <wps:spPr>
                              <a:xfrm>
                                <a:off x="2135423" y="1727833"/>
                                <a:ext cx="1215553" cy="607776"/>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15" name="Shape 15"/>
                            <wps:spPr>
                              <a:xfrm>
                                <a:off x="2135423" y="1727833"/>
                                <a:ext cx="1215553" cy="607776"/>
                              </a:xfrm>
                              <a:prstGeom prst="rect">
                                <a:avLst/>
                              </a:prstGeom>
                              <a:noFill/>
                              <a:ln>
                                <a:noFill/>
                              </a:ln>
                            </wps:spPr>
                            <wps:txbx>
                              <w:txbxContent>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Semiotic by Roland Barthes</w:t>
                                  </w:r>
                                </w:p>
                              </w:txbxContent>
                            </wps:txbx>
                            <wps:bodyPr anchorCtr="0" anchor="ctr" bIns="8775" lIns="8775" spcFirstLastPara="1" rIns="8775" wrap="square" tIns="8775">
                              <a:noAutofit/>
                            </wps:bodyPr>
                          </wps:wsp>
                          <wps:wsp>
                            <wps:cNvSpPr/>
                            <wps:cNvPr id="16" name="Shape 16"/>
                            <wps:spPr>
                              <a:xfrm>
                                <a:off x="664603" y="2590876"/>
                                <a:ext cx="1215553" cy="607776"/>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17" name="Shape 17"/>
                            <wps:spPr>
                              <a:xfrm>
                                <a:off x="664603" y="2590876"/>
                                <a:ext cx="1215553" cy="607776"/>
                              </a:xfrm>
                              <a:prstGeom prst="rect">
                                <a:avLst/>
                              </a:prstGeom>
                              <a:noFill/>
                              <a:ln>
                                <a:noFill/>
                              </a:ln>
                            </wps:spPr>
                            <wps:txbx>
                              <w:txbxContent>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Denotative</w:t>
                                  </w:r>
                                </w:p>
                              </w:txbxContent>
                            </wps:txbx>
                            <wps:bodyPr anchorCtr="0" anchor="ctr" bIns="8775" lIns="8775" spcFirstLastPara="1" rIns="8775" wrap="square" tIns="8775">
                              <a:noAutofit/>
                            </wps:bodyPr>
                          </wps:wsp>
                          <wps:wsp>
                            <wps:cNvSpPr/>
                            <wps:cNvPr id="18" name="Shape 18"/>
                            <wps:spPr>
                              <a:xfrm>
                                <a:off x="2135423" y="2590876"/>
                                <a:ext cx="1215553" cy="607776"/>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19" name="Shape 19"/>
                            <wps:spPr>
                              <a:xfrm>
                                <a:off x="2135423" y="2590876"/>
                                <a:ext cx="1215553" cy="607776"/>
                              </a:xfrm>
                              <a:prstGeom prst="rect">
                                <a:avLst/>
                              </a:prstGeom>
                              <a:noFill/>
                              <a:ln>
                                <a:noFill/>
                              </a:ln>
                            </wps:spPr>
                            <wps:txbx>
                              <w:txbxContent>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Connotative</w:t>
                                  </w:r>
                                </w:p>
                              </w:txbxContent>
                            </wps:txbx>
                            <wps:bodyPr anchorCtr="0" anchor="ctr" bIns="8775" lIns="8775" spcFirstLastPara="1" rIns="8775" wrap="square" tIns="8775">
                              <a:noAutofit/>
                            </wps:bodyPr>
                          </wps:wsp>
                          <wps:wsp>
                            <wps:cNvSpPr/>
                            <wps:cNvPr id="20" name="Shape 20"/>
                            <wps:spPr>
                              <a:xfrm>
                                <a:off x="3606243" y="2590876"/>
                                <a:ext cx="1215553" cy="607776"/>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184.61999893188477" w:before="0" w:line="240"/>
                                    <w:ind w:left="0" w:right="0" w:firstLine="0"/>
                                    <w:jc w:val="left"/>
                                    <w:textDirection w:val="btLr"/>
                                  </w:pPr>
                                </w:p>
                              </w:txbxContent>
                            </wps:txbx>
                            <wps:bodyPr anchorCtr="0" anchor="ctr" bIns="105500" lIns="105500" spcFirstLastPara="1" rIns="105500" wrap="square" tIns="105500">
                              <a:noAutofit/>
                            </wps:bodyPr>
                          </wps:wsp>
                          <wps:wsp>
                            <wps:cNvSpPr/>
                            <wps:cNvPr id="21" name="Shape 21"/>
                            <wps:spPr>
                              <a:xfrm>
                                <a:off x="3606243" y="2590876"/>
                                <a:ext cx="1215600" cy="607800"/>
                              </a:xfrm>
                              <a:prstGeom prst="rect">
                                <a:avLst/>
                              </a:prstGeom>
                              <a:noFill/>
                              <a:ln>
                                <a:noFill/>
                              </a:ln>
                            </wps:spPr>
                            <wps:txbx>
                              <w:txbxContent>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Myth</w:t>
                                  </w:r>
                                </w:p>
                              </w:txbxContent>
                            </wps:txbx>
                            <wps:bodyPr anchorCtr="0" anchor="ctr" bIns="8775" lIns="8775" spcFirstLastPara="1" rIns="8775" wrap="square" tIns="8775">
                              <a:noAutofit/>
                            </wps:bodyPr>
                          </wps:wsp>
                        </wpg:grpSp>
                        <wps:wsp>
                          <wps:cNvSpPr/>
                          <wps:cNvPr id="22" name="Shape 22"/>
                          <wps:spPr>
                            <a:xfrm>
                              <a:off x="2135393" y="3476101"/>
                              <a:ext cx="1215600" cy="607800"/>
                            </a:xfrm>
                            <a:prstGeom prst="rect">
                              <a:avLst/>
                            </a:prstGeom>
                            <a:solidFill>
                              <a:schemeClr val="lt1"/>
                            </a:solidFill>
                            <a:ln cap="flat" cmpd="sng" w="14650">
                              <a:solidFill>
                                <a:schemeClr val="dk1"/>
                              </a:solidFill>
                              <a:prstDash val="solid"/>
                              <a:miter lim="800000"/>
                              <a:headEnd len="sm" w="sm" type="none"/>
                              <a:tailEnd len="sm" w="sm" type="none"/>
                            </a:ln>
                          </wps:spPr>
                          <wps:txbx>
                            <w:txbxContent>
                              <w:p w:rsidR="00000000" w:rsidDel="00000000" w:rsidP="00000000" w:rsidRDefault="00000000" w:rsidRPr="00000000">
                                <w:pPr>
                                  <w:spacing w:after="184.61999893188477" w:before="0" w:line="21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Lucille</w:t>
                                </w:r>
                              </w:p>
                            </w:txbxContent>
                          </wps:txbx>
                          <wps:bodyPr anchorCtr="0" anchor="ctr" bIns="8775" lIns="8775" spcFirstLastPara="1" rIns="8775" wrap="square" tIns="8775">
                            <a:noAutofit/>
                          </wps:bodyPr>
                        </wps:wsp>
                        <wps:wsp>
                          <wps:cNvCnPr/>
                          <wps:spPr>
                            <a:xfrm flipH="1">
                              <a:off x="3350920" y="3198652"/>
                              <a:ext cx="863100" cy="581400"/>
                            </a:xfrm>
                            <a:prstGeom prst="straightConnector1">
                              <a:avLst/>
                            </a:prstGeom>
                            <a:noFill/>
                            <a:ln cap="flat" cmpd="sng" w="14650">
                              <a:solidFill>
                                <a:schemeClr val="dk1"/>
                              </a:solidFill>
                              <a:prstDash val="solid"/>
                              <a:miter lim="800000"/>
                              <a:headEnd len="sm" w="sm" type="none"/>
                              <a:tailEnd len="sm" w="sm" type="none"/>
                            </a:ln>
                          </wps:spPr>
                          <wps:bodyPr anchorCtr="0" anchor="ctr" bIns="105500" lIns="105500" spcFirstLastPara="1" rIns="105500" wrap="square" tIns="105500">
                            <a:noAutofit/>
                          </wps:bodyPr>
                        </wps:wsp>
                        <wps:wsp>
                          <wps:cNvCnPr/>
                          <wps:spPr>
                            <a:xfrm rot="10800000">
                              <a:off x="1272293" y="3198601"/>
                              <a:ext cx="863100" cy="581400"/>
                            </a:xfrm>
                            <a:prstGeom prst="straightConnector1">
                              <a:avLst/>
                            </a:prstGeom>
                            <a:noFill/>
                            <a:ln cap="flat" cmpd="sng" w="14650">
                              <a:solidFill>
                                <a:schemeClr val="dk1"/>
                              </a:solidFill>
                              <a:prstDash val="solid"/>
                              <a:miter lim="800000"/>
                              <a:headEnd len="sm" w="sm" type="none"/>
                              <a:tailEnd len="sm" w="sm" type="none"/>
                            </a:ln>
                          </wps:spPr>
                          <wps:bodyPr anchorCtr="0" anchor="ctr" bIns="105500" lIns="105500" spcFirstLastPara="1" rIns="105500" wrap="square" tIns="105500">
                            <a:noAutofit/>
                          </wps:bodyPr>
                        </wps:wsp>
                        <wps:wsp>
                          <wps:cNvCnPr/>
                          <wps:spPr>
                            <a:xfrm rot="10800000">
                              <a:off x="2743193" y="3198601"/>
                              <a:ext cx="0" cy="277500"/>
                            </a:xfrm>
                            <a:prstGeom prst="straightConnector1">
                              <a:avLst/>
                            </a:prstGeom>
                            <a:noFill/>
                            <a:ln cap="flat" cmpd="sng" w="11000">
                              <a:solidFill>
                                <a:srgbClr val="000000"/>
                              </a:solidFill>
                              <a:prstDash val="solid"/>
                              <a:round/>
                              <a:headEnd len="sm" w="sm" type="none"/>
                              <a:tailEnd len="sm" w="sm" type="none"/>
                            </a:ln>
                          </wps:spPr>
                          <wps:bodyPr anchorCtr="0" anchor="ctr" bIns="105500" lIns="105500" spcFirstLastPara="1" rIns="105500" wrap="square" tIns="105500">
                            <a:noAutofit/>
                          </wps:bodyPr>
                        </wps:wsp>
                      </wpg:grpSp>
                      <wps:wsp>
                        <wps:cNvSpPr/>
                        <wps:cNvPr id="26" name="Shape 26"/>
                        <wps:spPr>
                          <a:xfrm>
                            <a:off x="5880575" y="312000"/>
                            <a:ext cx="1731300" cy="1407300"/>
                          </a:xfrm>
                          <a:prstGeom prst="rect">
                            <a:avLst/>
                          </a:prstGeom>
                          <a:solidFill>
                            <a:schemeClr val="lt1"/>
                          </a:solidFill>
                          <a:ln cap="flat" cmpd="sng" w="29300">
                            <a:solidFill>
                              <a:schemeClr val="dk1"/>
                            </a:solidFill>
                            <a:prstDash val="solid"/>
                            <a:round/>
                            <a:headEnd len="sm" w="sm" type="none"/>
                            <a:tailEnd len="sm" w="sm" type="none"/>
                          </a:ln>
                        </wps:spPr>
                        <wps:txbx>
                          <w:txbxContent>
                            <w:p w:rsidR="00000000" w:rsidDel="00000000" w:rsidP="00000000" w:rsidRDefault="00000000" w:rsidRPr="00000000">
                              <w:pPr>
                                <w:spacing w:after="240" w:before="240" w:line="213.5999965667724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Description of Fear in Lucille</w:t>
                              </w:r>
                            </w:p>
                          </w:txbxContent>
                        </wps:txbx>
                        <wps:bodyPr anchorCtr="0" anchor="ctr" bIns="91425" lIns="91425" spcFirstLastPara="1" rIns="91425" wrap="square" tIns="91425">
                          <a:noAutofit/>
                        </wps:bodyPr>
                      </wps:wsp>
                      <wps:wsp>
                        <wps:cNvSpPr/>
                        <wps:cNvPr id="27" name="Shape 27"/>
                        <wps:spPr>
                          <a:xfrm rot="-5400000">
                            <a:off x="5053250" y="370200"/>
                            <a:ext cx="386100" cy="1290900"/>
                          </a:xfrm>
                          <a:custGeom>
                            <a:rect b="b" l="l" r="r" t="t"/>
                            <a:pathLst>
                              <a:path extrusionOk="0" h="120000" w="120000">
                                <a:moveTo>
                                  <a:pt x="60000" y="0"/>
                                </a:moveTo>
                                <a:lnTo>
                                  <a:pt x="60000" y="120000"/>
                                </a:lnTo>
                              </a:path>
                            </a:pathLst>
                          </a:custGeom>
                          <a:noFill/>
                          <a:ln cap="flat" cmpd="sng" w="29300">
                            <a:solidFill>
                              <a:schemeClr val="dk1"/>
                            </a:solidFill>
                            <a:prstDash val="solid"/>
                            <a:round/>
                            <a:headEnd len="sm" w="sm" type="none"/>
                            <a:tailEnd len="sm" w="sm" type="none"/>
                          </a:ln>
                        </wps:spPr>
                        <wps:bodyPr anchorCtr="0" anchor="ctr" bIns="105500" lIns="105500" spcFirstLastPara="1" rIns="105500" wrap="square" tIns="105500">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480</wp:posOffset>
                </wp:positionH>
                <wp:positionV relativeFrom="paragraph">
                  <wp:posOffset>219075</wp:posOffset>
                </wp:positionV>
                <wp:extent cx="5039995" cy="33659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39995" cy="3365975"/>
                        </a:xfrm>
                        <a:prstGeom prst="rect"/>
                        <a:ln/>
                      </pic:spPr>
                    </pic:pic>
                  </a:graphicData>
                </a:graphic>
              </wp:anchor>
            </w:drawing>
          </mc:Fallback>
        </mc:AlternateConten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METHODOLOGY</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discuss the devices and methods that will be used to support the analysis. To provide further explanation, this section will be divided into seven parts. They will include the research design, form of data, research assumptions, data sources, the instrument for collecting data, data collection techniques, and data processing, analysis, and interpretation.</w:t>
      </w:r>
    </w:p>
    <w:p w:rsidR="00000000" w:rsidDel="00000000" w:rsidP="00000000" w:rsidRDefault="00000000" w:rsidRPr="00000000" w14:paraId="0000004F">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Design</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researcher will use Roland Barthes's semiotic theory approach as a framework to investigate the signals and meanings that will be created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series. This technique will allow for a more in-depth study of how Lucille's character will reflect the narrative's combination of fear and power, offering insights into audience perceptions and cultural implications. This technique will be selected because it will provide an effective analytical tool for investigating the intricate links between symbols and meanings within the context of the tale, as well as how those aspects will contribute to character development and the overall theme of the series.</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research begins through a foundation built on certain assumptions, different worldviews that shape the researcher's perspective, the potential application of theoretical lenses that provide a framework for analysis, and the in-depth exploration of research problems that seek to understand the complex meanings that individuals or groups connect with various social or human challenges and problems (Creswell &amp; Creswell, 2018). Sevilla-Liu's scholarly contributions to the domain of narrative analysis provide further substantive evidence supporting the assertion that qualitative research methodology has the capacity to expand its scope beyond the confines of simple descriptive accounts, thus facilitating a deeper exploration of the functional dimensions inherent in narrative structure, which is critical to achieving a comprehensive understanding of the intricate symbolic and emotional layers associated with various objects, such as the character of Lucille (Sevilla-Liu, 2023).</w:t>
      </w:r>
    </w:p>
    <w:p w:rsidR="00000000" w:rsidDel="00000000" w:rsidP="00000000" w:rsidRDefault="00000000" w:rsidRPr="00000000" w14:paraId="00000052">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 of Data</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this study investigation, it is important to note that there are two distinct categories of data forms that are outlined and discussed in detail in the next section of this study.</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Object</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objects refer to objects that carry sensory, symbolic, or personal meaning and are able to create understanding through the relationship between humans and these objects. These objects serve as a primary source of data because they facilitate the interaction of participants or researchers through the senses of sight, touch, smell, or hearing, thus allowing the transmission of ideas or feelings that may be difficult to express verbally (Cox &amp; Guillemin, 2018).</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focus of this material object is the script of the hit American television series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adapted from the comic book series of the same name. The highly acclaimed series debuted in the United States on October 31, 2010, and has since expanded to include 11 different seasons, each contributing to the work's overarching narrative and thematic exploration. The series chronicles a post-apocalyptic horror world emphasizing humanity's relentless and often harrowing struggle to survive and the myriad of challenges posed by a world permanently altered by a catastrophic zombie outbreak. </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Formal Object</w:t>
      </w:r>
    </w:p>
    <w:p w:rsidR="00000000" w:rsidDel="00000000" w:rsidP="00000000" w:rsidRDefault="00000000" w:rsidRPr="00000000" w14:paraId="0000005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objects are conceptual forms that are known to have great significance in various fields, such as epistemology, emotion, software architecture, and procedural context. In the field of epistemology, formal objects are described through logical structures that highlight the active contribution of the subject of knowledge, especially in distinguishing between mathematical and empirical objects (Boniolo &amp; Valentini, 2012)</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interpretation of Lucille's symbols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is the main subject of this academic research. Lucille demonstrates the way authority is used through fear and violence in the post-apocalyptic storyline. This study seeks to explain the consequences of power relations on character interactions and the pervasive atmosphere of fear by thoroughly analyzing Lucille's symbolic importance. Roland Barthes's semiotic framework is used to explain the correlation between the signifier (Lucille) and its connotative implications (power and fear) to achieve this goal.</w:t>
      </w:r>
    </w:p>
    <w:p w:rsidR="00000000" w:rsidDel="00000000" w:rsidP="00000000" w:rsidRDefault="00000000" w:rsidRPr="00000000" w14:paraId="0000005A">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Assumptions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series of assumptions will be formulated to answer the questions presented by the researcher and facilitate a comprehensive understanding of the findings that will be obtained from this study. These assumptions will be based on the research problem described in the study. It will be argued that applying Roland Barthes's semiotic theory will shed light on the intricate meanings associated with Lucille, the baseball bat wielded by Negan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The study will postulate that Lucille is a powerful symbol in the narrative, embodying not only power dynamics but also a profound dimension of fear that the characters will face. Through a systematic examination of signs relating to Lucille, this study will aspire to show how the construction of power dynamics and the representation of fear will be intricately interwoven in the storyline. The interpretation of these signs will illuminate the way Lucille will operate within the narrative to reflect issues of domination and intimidation, thus underscoring the influence of fear and power in the apocalyptic context depicted in the series.</w:t>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of Data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research methodology, it is important to identify two unique categories of data sources, each of which will be carefully outlined in the next segment of this dialogue.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primary data that serves as the foundation for this academic inquiry is meticulously extracted from the material object that is the focal point of this investigation, specifically the intricately scripted series of the television phenomenon known as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which has garnered significant attention in contemporary media studies. The subsequent analysis and scholarly interpretation of pivotal scenes that prominently feature Lucille's character will provide primary data, with concentrated emphasis on the intricate power dynamics and diverse representations of fear that are deeply embedded within the narrative framework of the series. This primary data will be instrumental in explaining the ways in which Lucille emerges as a powerful symbol of authority and intimidation, especially when examined within the broader sociocultural context of the series' narrative architecture. </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supplementary data that will be utilized in the context of this study will consist of a wide array of supporting information that has been carefully gathered from various scholarly sources, including but not limited to respected academic books, peer-reviewed journals, reputable online articles, and related theoretical frameworks directly related to the field of semiotics and representation within the field of media studies. The strategic inclusion of these secondary sources is intended to significantly enrich the analytical discourse and contribute to a more comprehensive and nuanced understanding of the thematic elements being scrutinized during this investigation.</w:t>
      </w:r>
    </w:p>
    <w:p w:rsidR="00000000" w:rsidDel="00000000" w:rsidP="00000000" w:rsidRDefault="00000000" w:rsidRPr="00000000" w14:paraId="00000060">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Instrument of Collecting Data</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Salmia (Salmia, 2023), methodologies and instruments used for data collection purposes are systematic techniques and specialized tools used in the field of research to collect diverse data, which, after collection, are then subjected to processing that can be either quantitative, involving numerical analysis, or qualitative, emphasizing descriptive assessment, and then carefully organized coherently and systematically. In this context, the investigator serves as the primary instrument of the research. The investigator carefully examines the literary composition, using his comprehensive abilities and competencies, including reading, comprehension, interpretation, analysis, and the necessary analytical tools. The inventory data table is the main methodological instrument to facilitate the research process. The specifications of the data table are described below.</w:t>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w:t>
      </w:r>
      <w:r w:rsidDel="00000000" w:rsidR="00000000" w:rsidRPr="00000000">
        <w:rPr>
          <w:rFonts w:ascii="Times New Roman" w:cs="Times New Roman" w:eastAsia="Times New Roman" w:hAnsi="Times New Roman"/>
          <w:b w:val="1"/>
          <w:bCs w:val="1"/>
          <w:sz w:val="24"/>
          <w:szCs w:val="24"/>
          <w:rtl w:val="0"/>
        </w:rPr>
        <w:t xml:space="preserve">modelling significance</w:t>
      </w:r>
      <w:r w:rsidDel="00000000" w:rsidR="00000000" w:rsidRPr="00000000">
        <w:rPr>
          <w:rtl w:val="0"/>
        </w:rPr>
      </w:r>
    </w:p>
    <w:tbl>
      <w:tblPr>
        <w:tblStyle w:val="Table1"/>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90"/>
        <w:gridCol w:w="1755"/>
        <w:gridCol w:w="1635"/>
        <w:gridCol w:w="1980"/>
        <w:tblGridChange w:id="0">
          <w:tblGrid>
            <w:gridCol w:w="570"/>
            <w:gridCol w:w="1890"/>
            <w:gridCol w:w="1755"/>
            <w:gridCol w:w="1635"/>
            <w:gridCol w:w="1980"/>
          </w:tblGrid>
        </w:tblGridChange>
      </w:tblGrid>
      <w:tr>
        <w:trPr>
          <w:cantSplit w:val="0"/>
          <w:tblHeader w:val="0"/>
        </w:trPr>
        <w:tc>
          <w:tcP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w:t>
            </w:r>
          </w:p>
        </w:tc>
        <w:tc>
          <w:tcPr>
            <w:vAlign w:val="cente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Signifier</w:t>
            </w:r>
          </w:p>
        </w:tc>
        <w:tc>
          <w:tcPr>
            <w:vAlign w:val="cente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Signified</w:t>
            </w:r>
          </w:p>
        </w:tc>
        <w:tc>
          <w:tcPr>
            <w:vAlign w:val="center"/>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modeling</w:t>
      </w:r>
      <w:r w:rsidDel="00000000" w:rsidR="00000000" w:rsidRPr="00000000">
        <w:rPr>
          <w:rFonts w:ascii="Times New Roman" w:cs="Times New Roman" w:eastAsia="Times New Roman" w:hAnsi="Times New Roman"/>
          <w:b w:val="1"/>
          <w:bCs w:val="1"/>
          <w:color w:val="444746"/>
          <w:sz w:val="24"/>
          <w:szCs w:val="24"/>
          <w:rtl w:val="0"/>
        </w:rPr>
        <w:t xml:space="preserve"> significance</w:t>
      </w:r>
      <w:r w:rsidDel="00000000" w:rsidR="00000000" w:rsidRPr="00000000">
        <w:rPr>
          <w:rtl w:val="0"/>
        </w:rPr>
      </w:r>
    </w:p>
    <w:tbl>
      <w:tblPr>
        <w:tblStyle w:val="Table2"/>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90"/>
        <w:gridCol w:w="1755"/>
        <w:gridCol w:w="1635"/>
        <w:gridCol w:w="1980"/>
        <w:tblGridChange w:id="0">
          <w:tblGrid>
            <w:gridCol w:w="570"/>
            <w:gridCol w:w="1890"/>
            <w:gridCol w:w="1755"/>
            <w:gridCol w:w="1635"/>
            <w:gridCol w:w="1980"/>
          </w:tblGrid>
        </w:tblGridChange>
      </w:tblGrid>
      <w:tr>
        <w:trPr>
          <w:cantSplit w:val="0"/>
          <w:tblHeader w:val="0"/>
        </w:trPr>
        <w:tc>
          <w:tcPr>
            <w:vAlign w:val="center"/>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w:t>
            </w:r>
          </w:p>
        </w:tc>
        <w:tc>
          <w:tcPr>
            <w:vAlign w:val="center"/>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Connotative</w:t>
            </w:r>
          </w:p>
        </w:tc>
        <w:tc>
          <w:tcPr>
            <w:vAlign w:val="cente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Myth</w:t>
            </w:r>
          </w:p>
        </w:tc>
        <w:tc>
          <w:tcPr>
            <w:vAlign w:val="cente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vAlign w:val="cente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Collection Techniques</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will conduct the following chronological steps to collect primary and secondary data.</w:t>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will read the selected script episodes of</w:t>
      </w:r>
      <w:r w:rsidDel="00000000" w:rsidR="00000000" w:rsidRPr="00000000">
        <w:rPr>
          <w:rFonts w:ascii="Times New Roman" w:cs="Times New Roman" w:eastAsia="Times New Roman" w:hAnsi="Times New Roman"/>
          <w:i w:val="1"/>
          <w:iCs w:val="1"/>
          <w:sz w:val="24"/>
          <w:szCs w:val="24"/>
          <w:rtl w:val="0"/>
        </w:rPr>
        <w:t xml:space="preserve"> The Walking Dead</w:t>
      </w:r>
      <w:r w:rsidDel="00000000" w:rsidR="00000000" w:rsidRPr="00000000">
        <w:rPr>
          <w:rFonts w:ascii="Times New Roman" w:cs="Times New Roman" w:eastAsia="Times New Roman" w:hAnsi="Times New Roman"/>
          <w:sz w:val="24"/>
          <w:szCs w:val="24"/>
          <w:rtl w:val="0"/>
        </w:rPr>
        <w:t xml:space="preserve"> multiple times carefully and comprehensively, focusing specifically on scenes that feature Lucille. This process will include analyzing character dialogues, visual elements, and narrative context related to power dynamics and fear representation. In addition to the script, the researcher will examine various scholarly articles and books to gather relevant information related to the topic.</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Identifying</w:t>
        <w:br w:type="textWrapping"/>
      </w:r>
      <w:r w:rsidDel="00000000" w:rsidR="00000000" w:rsidRPr="00000000">
        <w:rPr>
          <w:rFonts w:ascii="Times New Roman" w:cs="Times New Roman" w:eastAsia="Times New Roman" w:hAnsi="Times New Roman"/>
          <w:sz w:val="24"/>
          <w:szCs w:val="24"/>
          <w:rtl w:val="0"/>
        </w:rPr>
        <w:t xml:space="preserve">Identifying will be intended to distinguish relevant data from non-relevant content within the episodes. This will be essential for collecting appropriate data that aligns with the research objectives. The identification process will highlight significant dialogues, character interactions, and critical scenes involving Lucille, along with relevant literature supporting the analysis.</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Classifying</w:t>
        <w:br w:type="textWrapping"/>
      </w:r>
      <w:r w:rsidDel="00000000" w:rsidR="00000000" w:rsidRPr="00000000">
        <w:rPr>
          <w:rFonts w:ascii="Times New Roman" w:cs="Times New Roman" w:eastAsia="Times New Roman" w:hAnsi="Times New Roman"/>
          <w:sz w:val="24"/>
          <w:szCs w:val="24"/>
          <w:rtl w:val="0"/>
        </w:rPr>
        <w:t xml:space="preserve">After identifying the collected data, the researcher will classify it according to the research objectives and problem statements. The data classification will be organized into categories, such as power dynamics, fear representation, and Lucille's symbolism.</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Inventorying</w:t>
        <w:br w:type="textWrapping"/>
      </w:r>
      <w:r w:rsidDel="00000000" w:rsidR="00000000" w:rsidRPr="00000000">
        <w:rPr>
          <w:rFonts w:ascii="Times New Roman" w:cs="Times New Roman" w:eastAsia="Times New Roman" w:hAnsi="Times New Roman"/>
          <w:sz w:val="24"/>
          <w:szCs w:val="24"/>
          <w:rtl w:val="0"/>
        </w:rPr>
        <w:t xml:space="preserve">Inventorying will involve organizing the identified and classified data into tables to address the research questions systematically. The researcher will fill out data tables to quantify and categorize findings related to power dynamics and fear surrounding Lucille.</w:t>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br w:type="textWrapping"/>
      </w:r>
      <w:r w:rsidDel="00000000" w:rsidR="00000000" w:rsidRPr="00000000">
        <w:rPr>
          <w:rFonts w:ascii="Times New Roman" w:cs="Times New Roman" w:eastAsia="Times New Roman" w:hAnsi="Times New Roman"/>
          <w:sz w:val="24"/>
          <w:szCs w:val="24"/>
          <w:rtl w:val="0"/>
        </w:rPr>
        <w:t xml:space="preserve">After inventorying the data, the researcher will report the findings in descriptive form. The outcomes will be presented through selected quotes, phrases, dialogues, and references from the episodes and secondary literature to support the analysis.</w:t>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w:t>
        <w:br w:type="textWrapping"/>
      </w:r>
      <w:r w:rsidDel="00000000" w:rsidR="00000000" w:rsidRPr="00000000">
        <w:rPr>
          <w:rFonts w:ascii="Times New Roman" w:cs="Times New Roman" w:eastAsia="Times New Roman" w:hAnsi="Times New Roman"/>
          <w:sz w:val="24"/>
          <w:szCs w:val="24"/>
          <w:rtl w:val="0"/>
        </w:rPr>
        <w:t xml:space="preserve">Finally, the researcher will summarize the findings from the reports. Based on the analysis conclusions, the researcher will provide comprehensive answers to the research questions, linking back to Lucille’s symbolic significance concerning power dynamics and fear within the narrative of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tl w:val="0"/>
        </w:rPr>
      </w:r>
    </w:p>
    <w:p w:rsidR="00000000" w:rsidDel="00000000" w:rsidP="00000000" w:rsidRDefault="00000000" w:rsidRPr="00000000" w14:paraId="0000008D">
      <w:pPr>
        <w:pStyle w:val="Heading2"/>
        <w:numPr>
          <w:ilvl w:val="1"/>
          <w:numId w:val="4"/>
        </w:numPr>
        <w:spacing w:line="360" w:lineRule="auto"/>
        <w:ind w:left="576" w:hanging="576"/>
        <w:jc w:val="both"/>
        <w:rPr>
          <w:rFonts w:ascii="Times New Roman" w:cs="Times New Roman" w:eastAsia="Times New Roman" w:hAnsi="Times New Roman"/>
          <w:b w:val="1"/>
          <w:bCs w:val="1"/>
          <w:color w:val="000000"/>
          <w:sz w:val="24"/>
          <w:szCs w:val="24"/>
        </w:rPr>
      </w:pPr>
      <w:commentRangeStart w:id="2"/>
      <w:r w:rsidDel="00000000" w:rsidR="00000000" w:rsidRPr="00000000">
        <w:rPr>
          <w:rFonts w:ascii="Times New Roman" w:cs="Times New Roman" w:eastAsia="Times New Roman" w:hAnsi="Times New Roman"/>
          <w:b w:val="1"/>
          <w:bCs w:val="1"/>
          <w:color w:val="000000"/>
          <w:sz w:val="24"/>
          <w:szCs w:val="24"/>
          <w:rtl w:val="0"/>
        </w:rPr>
        <w:t xml:space="preserve">Data Processing, Analysis, and Interpretation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researcher will apply Roland Barthes's semiotic theory to analyze the representation of power dynamics and fear associated with Lucille in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Firstly, the researcher will read selected series episodes thoroughly to understand the content, themes, characters, and context surrounding Lucille's interactions within the narrative. The researcher will focus specifically on scenes where Lucille is prominently featured and interactions that highlight the dynamics between power and fear.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Relating to the semiotic analysis of Lucille, the researcher will process the data by using the following steps:</w:t>
      </w:r>
    </w:p>
    <w:p w:rsidR="00000000" w:rsidDel="00000000" w:rsidP="00000000" w:rsidRDefault="00000000" w:rsidRPr="00000000" w14:paraId="00000090">
      <w:pPr>
        <w:numPr>
          <w:ilvl w:val="0"/>
          <w:numId w:val="3"/>
        </w:numPr>
        <w:spacing w:after="0" w:after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Identifying the Sign: The researcher initially recognizes Lucille as a symbol inside the narrative of The Walking Dead. Lucille is regarded as an important entity that consistently emerges in pivotal narrative contexts, contributing to the formulation of meaning associated with power and fear. </w:t>
      </w:r>
    </w:p>
    <w:p w:rsidR="00000000" w:rsidDel="00000000" w:rsidP="00000000" w:rsidRDefault="00000000" w:rsidRPr="00000000" w14:paraId="00000091">
      <w:pPr>
        <w:numPr>
          <w:ilvl w:val="0"/>
          <w:numId w:val="3"/>
        </w:numPr>
        <w:spacing w:after="0" w:after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Analyzing the Signifier and the Signified: Upon recognizing Lucille as a sign, the researcher examines its signifier and signified. The signifier denotes Lucille's physical manifestation as a baseball bat encased in barbed wire, whereas the signified refers to the conceptual interpretations associated with it within the narrative framework.</w:t>
      </w:r>
    </w:p>
    <w:p w:rsidR="00000000" w:rsidDel="00000000" w:rsidP="00000000" w:rsidRDefault="00000000" w:rsidRPr="00000000" w14:paraId="00000092">
      <w:pPr>
        <w:numPr>
          <w:ilvl w:val="0"/>
          <w:numId w:val="3"/>
        </w:numPr>
        <w:spacing w:after="0" w:after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Examining the First Order of Signification (Denotation): Lucille is examined at the denotative level, focusing on its literal and functional significance as a weapon wielded by Negan. This phase emphasizes the explicit, descriptive significance of Lucille, without cultural or ideological interpretation.</w:t>
      </w:r>
    </w:p>
    <w:p w:rsidR="00000000" w:rsidDel="00000000" w:rsidP="00000000" w:rsidRDefault="00000000" w:rsidRPr="00000000" w14:paraId="00000093">
      <w:pPr>
        <w:numPr>
          <w:ilvl w:val="0"/>
          <w:numId w:val="3"/>
        </w:numPr>
        <w:spacing w:after="0" w:after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Examining the Second Order of Signification (Connotation): Lucille is analyzed as a symbol that represents meanings beyond its tangible existence. The analysis examines how Lucille signifies violence, authority, domination, and terror through its recurrent application in situations depicting punishment and control.</w:t>
      </w:r>
    </w:p>
    <w:p w:rsidR="00000000" w:rsidDel="00000000" w:rsidP="00000000" w:rsidRDefault="00000000" w:rsidRPr="00000000" w14:paraId="00000094">
      <w:pPr>
        <w:numPr>
          <w:ilvl w:val="0"/>
          <w:numId w:val="3"/>
        </w:numPr>
        <w:spacing w:after="24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Analyzing Myth as an Ideological System: Utilizing Barthes' notion of myth, the researcher examines the manner in which the connotative significations of Lucille are normalized into a myth of supreme power and unassailable authority. At this level, Lucille operates as a cultural myth that validates fear-driven leadership and perpetuates power dynamics within the narrative.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By following the structured analysis outlined above, the researcher aims to draw meaningful conclusions about </w:t>
      </w:r>
      <w:r w:rsidDel="00000000" w:rsidR="00000000" w:rsidRPr="00000000">
        <w:rPr>
          <w:rFonts w:ascii="Times New Roman" w:cs="Times New Roman" w:eastAsia="Times New Roman" w:hAnsi="Times New Roman"/>
          <w:sz w:val="24"/>
          <w:szCs w:val="24"/>
          <w:rtl w:val="0"/>
        </w:rPr>
        <w:t xml:space="preserve">Lucille's significance in The Walking Dead regarding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power and fear.</w:t>
      </w:r>
    </w:p>
    <w:p w:rsidR="00000000" w:rsidDel="00000000" w:rsidP="00000000" w:rsidRDefault="00000000" w:rsidRPr="00000000" w14:paraId="00000096">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OUTLINE OF THE STUDY</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write this proposal, the researcher will use this outline as a reference. The first section will contain an introduction that will explain the background, research question, objectives, and benefits of this study. In the second section, the researcher will describe previous studies that have been conducted before this study, along with the theoretical framework. Then, the third section will explain how the researcher obtained the data needed to write this study. </w:t>
      </w:r>
    </w:p>
    <w:p w:rsidR="00000000" w:rsidDel="00000000" w:rsidP="00000000" w:rsidRDefault="00000000" w:rsidRPr="00000000" w14:paraId="00000098">
      <w:pPr>
        <w:pStyle w:val="Heading1"/>
        <w:numPr>
          <w:ilvl w:val="0"/>
          <w:numId w:val="4"/>
        </w:numPr>
        <w:spacing w:line="360" w:lineRule="auto"/>
        <w:ind w:left="43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99">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Adolph, R. (2016). </w:t>
      </w:r>
      <w:r w:rsidDel="00000000" w:rsidR="00000000" w:rsidRPr="00000000">
        <w:rPr>
          <w:rFonts w:ascii="Times New Roman" w:cs="Times New Roman" w:eastAsia="Times New Roman" w:hAnsi="Times New Roman"/>
          <w:i w:val="1"/>
          <w:iCs w:val="1"/>
          <w:sz w:val="24"/>
          <w:szCs w:val="24"/>
          <w:rtl w:val="0"/>
        </w:rPr>
        <w:t xml:space="preserve">Gender Trouble: Feminism and the Subversion of Identity</w:t>
      </w: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9A">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Afrisyah, M., &amp; Kurniawan, B. (2024). Representasi sensualitas simbolis pada iklan alat kontrasepsi: (Analisis Semiotika Roland Barthes). </w:t>
      </w:r>
      <w:r w:rsidDel="00000000" w:rsidR="00000000" w:rsidRPr="00000000">
        <w:rPr>
          <w:rFonts w:ascii="Times New Roman" w:cs="Times New Roman" w:eastAsia="Times New Roman" w:hAnsi="Times New Roman"/>
          <w:i w:val="1"/>
          <w:iCs w:val="1"/>
          <w:sz w:val="24"/>
          <w:szCs w:val="24"/>
          <w:rtl w:val="0"/>
        </w:rPr>
        <w:t xml:space="preserve">Jurnal Ilmu Sosial Dan Budaya Indonesia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(1), 31–38. https://doi.org/10.61476/h4geve67</w:t>
      </w:r>
    </w:p>
    <w:p w:rsidR="00000000" w:rsidDel="00000000" w:rsidP="00000000" w:rsidRDefault="00000000" w:rsidRPr="00000000" w14:paraId="0000009B">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Ambrosius, J. D., &amp; Valenzano III, J. M. (2016). “People in Hell Want Slurpees”: The Redefinition of the Zombie Genre through the Salvific Portrayal of Family on AMC’s </w:t>
      </w:r>
      <w:r w:rsidDel="00000000" w:rsidR="00000000" w:rsidRPr="00000000">
        <w:rPr>
          <w:rFonts w:ascii="Times New Roman" w:cs="Times New Roman" w:eastAsia="Times New Roman" w:hAnsi="Times New Roman"/>
          <w:i w:val="1"/>
          <w:iCs w:val="1"/>
          <w:sz w:val="24"/>
          <w:szCs w:val="24"/>
          <w:rtl w:val="0"/>
        </w:rPr>
        <w:t xml:space="preserve">The Walking Dead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Communication Monographs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83</w:t>
      </w:r>
      <w:r w:rsidDel="00000000" w:rsidR="00000000" w:rsidRPr="00000000">
        <w:rPr>
          <w:rFonts w:ascii="Times New Roman" w:cs="Times New Roman" w:eastAsia="Times New Roman" w:hAnsi="Times New Roman"/>
          <w:sz w:val="24"/>
          <w:szCs w:val="24"/>
          <w:rtl w:val="0"/>
        </w:rPr>
        <w:t xml:space="preserve">(1), 69–93. https://doi.org/10.1080/03637751.2015.1030683</w:t>
      </w:r>
    </w:p>
    <w:p w:rsidR="00000000" w:rsidDel="00000000" w:rsidP="00000000" w:rsidRDefault="00000000" w:rsidRPr="00000000" w14:paraId="0000009C">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Beuret, N., &amp; Brown, G. (2017). The Walking Dead: The Anthropocene as a Ruined Earth. </w:t>
      </w:r>
      <w:r w:rsidDel="00000000" w:rsidR="00000000" w:rsidRPr="00000000">
        <w:rPr>
          <w:rFonts w:ascii="Times New Roman" w:cs="Times New Roman" w:eastAsia="Times New Roman" w:hAnsi="Times New Roman"/>
          <w:i w:val="1"/>
          <w:iCs w:val="1"/>
          <w:sz w:val="24"/>
          <w:szCs w:val="24"/>
          <w:rtl w:val="0"/>
        </w:rPr>
        <w:t xml:space="preserve">Science as 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(3), 330–354. https://doi.org/10.1080/09505431.2016.1257600</w:t>
      </w:r>
    </w:p>
    <w:p w:rsidR="00000000" w:rsidDel="00000000" w:rsidP="00000000" w:rsidRDefault="00000000" w:rsidRPr="00000000" w14:paraId="0000009D">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Bruns, A., &amp; Nuernbergk, C. (2019). Political journalists and their social media audiences: New power relations. </w:t>
      </w:r>
      <w:r w:rsidDel="00000000" w:rsidR="00000000" w:rsidRPr="00000000">
        <w:rPr>
          <w:rFonts w:ascii="Times New Roman" w:cs="Times New Roman" w:eastAsia="Times New Roman" w:hAnsi="Times New Roman"/>
          <w:i w:val="1"/>
          <w:iCs w:val="1"/>
          <w:sz w:val="24"/>
          <w:szCs w:val="24"/>
          <w:rtl w:val="0"/>
        </w:rPr>
        <w:t xml:space="preserve">Media and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 JournalismandSocialMedia), 198–212. https://doi.org/10.17645/mac.v7i1.1759</w:t>
      </w:r>
    </w:p>
    <w:p w:rsidR="00000000" w:rsidDel="00000000" w:rsidP="00000000" w:rsidRDefault="00000000" w:rsidRPr="00000000" w14:paraId="0000009E">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J. A. M., &amp; Sales Araújo, N. (2021). O MEDO NA NARRATIVA FANTÁSTICA: A REPRESENTAÇÃO LITERÁRIA E CINEMATOGRÁFICA DOS PERSONAGENS DE IT - A COISA. </w:t>
      </w:r>
      <w:r w:rsidDel="00000000" w:rsidR="00000000" w:rsidRPr="00000000">
        <w:rPr>
          <w:rFonts w:ascii="Times New Roman" w:cs="Times New Roman" w:eastAsia="Times New Roman" w:hAnsi="Times New Roman"/>
          <w:i w:val="1"/>
          <w:iCs w:val="1"/>
          <w:sz w:val="24"/>
          <w:szCs w:val="24"/>
          <w:rtl w:val="0"/>
        </w:rPr>
        <w:t xml:space="preserve">Revista Água Viva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(2). https://doi.org/10.26512/aguaviva.v6i2.36938</w:t>
      </w:r>
    </w:p>
    <w:p w:rsidR="00000000" w:rsidDel="00000000" w:rsidP="00000000" w:rsidRDefault="00000000" w:rsidRPr="00000000" w14:paraId="0000009F">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Creswell, J. D. (2018). </w:t>
      </w:r>
      <w:r w:rsidDel="00000000" w:rsidR="00000000" w:rsidRPr="00000000">
        <w:rPr>
          <w:rFonts w:ascii="Times New Roman" w:cs="Times New Roman" w:eastAsia="Times New Roman" w:hAnsi="Times New Roman"/>
          <w:i w:val="1"/>
          <w:iCs w:val="1"/>
          <w:sz w:val="24"/>
          <w:szCs w:val="24"/>
          <w:rtl w:val="0"/>
        </w:rPr>
        <w:t xml:space="preserve">Creswell, J. W., &amp; Creswell, J. D. (2018). Research design_ Qualitative, quantitative, and mixed methods approaches (5th ed.</w:t>
      </w:r>
      <w:r w:rsidDel="00000000" w:rsidR="00000000" w:rsidRPr="00000000">
        <w:rPr>
          <w:rtl w:val="0"/>
        </w:rPr>
      </w:r>
    </w:p>
    <w:p w:rsidR="00000000" w:rsidDel="00000000" w:rsidP="00000000" w:rsidRDefault="00000000" w:rsidRPr="00000000" w14:paraId="000000A0">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Moor, J. (2022). Postapocalyptic narratives in climate activism: their place and impact in five European cities. </w:t>
      </w:r>
      <w:r w:rsidDel="00000000" w:rsidR="00000000" w:rsidRPr="00000000">
        <w:rPr>
          <w:rFonts w:ascii="Times New Roman" w:cs="Times New Roman" w:eastAsia="Times New Roman" w:hAnsi="Times New Roman"/>
          <w:i w:val="1"/>
          <w:iCs w:val="1"/>
          <w:sz w:val="24"/>
          <w:szCs w:val="24"/>
          <w:rtl w:val="0"/>
        </w:rPr>
        <w:t xml:space="preserve">Environmental 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(6), 927–948. https://doi.org/10.1080/09644016.2021.1959123</w:t>
      </w:r>
    </w:p>
    <w:p w:rsidR="00000000" w:rsidDel="00000000" w:rsidP="00000000" w:rsidRDefault="00000000" w:rsidRPr="00000000" w14:paraId="000000A1">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Saussure, F. (2011). </w:t>
      </w:r>
      <w:r w:rsidDel="00000000" w:rsidR="00000000" w:rsidRPr="00000000">
        <w:rPr>
          <w:rFonts w:ascii="Times New Roman" w:cs="Times New Roman" w:eastAsia="Times New Roman" w:hAnsi="Times New Roman"/>
          <w:i w:val="1"/>
          <w:iCs w:val="1"/>
          <w:sz w:val="24"/>
          <w:szCs w:val="24"/>
          <w:rtl w:val="0"/>
        </w:rPr>
        <w:t xml:space="preserve">Course in General Linguistics (Translated by Wade Baskin)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Downes, S., Holloway, S., &amp; Randles, S. (2018). </w:t>
      </w:r>
      <w:r w:rsidDel="00000000" w:rsidR="00000000" w:rsidRPr="00000000">
        <w:rPr>
          <w:rFonts w:ascii="Times New Roman" w:cs="Times New Roman" w:eastAsia="Times New Roman" w:hAnsi="Times New Roman"/>
          <w:i w:val="1"/>
          <w:iCs w:val="1"/>
          <w:sz w:val="24"/>
          <w:szCs w:val="24"/>
          <w:rtl w:val="0"/>
        </w:rPr>
        <w:t xml:space="preserve">Feeling Things: Objects and Emotions through History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Ehrlich, S. (2019). “Well, i saw the picture”: Semiotic ideologies and the unsettling of normative conceptions of female sexuality in the Steubenville rape trial. </w:t>
      </w:r>
      <w:r w:rsidDel="00000000" w:rsidR="00000000" w:rsidRPr="00000000">
        <w:rPr>
          <w:rFonts w:ascii="Times New Roman" w:cs="Times New Roman" w:eastAsia="Times New Roman" w:hAnsi="Times New Roman"/>
          <w:i w:val="1"/>
          <w:iCs w:val="1"/>
          <w:sz w:val="24"/>
          <w:szCs w:val="24"/>
          <w:rtl w:val="0"/>
        </w:rPr>
        <w:t xml:space="preserve">Gender and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(2), 251–269. https://doi.org/10.1558/genl.35019</w:t>
      </w:r>
    </w:p>
    <w:p w:rsidR="00000000" w:rsidDel="00000000" w:rsidP="00000000" w:rsidRDefault="00000000" w:rsidRPr="00000000" w14:paraId="000000A4">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 Villa, M. F., Gutiérrez Ospina, A. T., &amp; Arias Cortés, D. (2019). Learning of two semiotic concepts for movies’ analysis. </w:t>
      </w:r>
      <w:r w:rsidDel="00000000" w:rsidR="00000000" w:rsidRPr="00000000">
        <w:rPr>
          <w:rFonts w:ascii="Times New Roman" w:cs="Times New Roman" w:eastAsia="Times New Roman" w:hAnsi="Times New Roman"/>
          <w:i w:val="1"/>
          <w:iCs w:val="1"/>
          <w:sz w:val="24"/>
          <w:szCs w:val="24"/>
          <w:rtl w:val="0"/>
        </w:rPr>
        <w:t xml:space="preserve">Sophia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(1), 109–118.</w:t>
      </w:r>
    </w:p>
    <w:p w:rsidR="00000000" w:rsidDel="00000000" w:rsidP="00000000" w:rsidRDefault="00000000" w:rsidRPr="00000000" w14:paraId="000000A5">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Greening, S. G., Lee, T. H., Burleigh, L., Grégoire, L., Robinson, T., Jiang, X., Mather, M., &amp; Kaplan, J. (2022). Mental imagery can generate and regulate acquired differential fear conditioned reactivity.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(1), 1–23. https://doi.org/10.1038/s41598-022-05019-y</w:t>
      </w:r>
    </w:p>
    <w:p w:rsidR="00000000" w:rsidDel="00000000" w:rsidP="00000000" w:rsidRDefault="00000000" w:rsidRPr="00000000" w14:paraId="000000A6">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Kennedy, T. (n.d.). </w:t>
      </w:r>
      <w:r w:rsidDel="00000000" w:rsidR="00000000" w:rsidRPr="00000000">
        <w:rPr>
          <w:rFonts w:ascii="Times New Roman" w:cs="Times New Roman" w:eastAsia="Times New Roman" w:hAnsi="Times New Roman"/>
          <w:i w:val="1"/>
          <w:iCs w:val="1"/>
          <w:sz w:val="24"/>
          <w:szCs w:val="24"/>
          <w:rtl w:val="0"/>
        </w:rPr>
        <w:t xml:space="preserve">Indigenous Peoples’ Experiences of Harmful Content on Social Media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Kurylo, B. (2017). Pornography and power in Michel Foucault’s thought. </w:t>
      </w:r>
      <w:r w:rsidDel="00000000" w:rsidR="00000000" w:rsidRPr="00000000">
        <w:rPr>
          <w:rFonts w:ascii="Times New Roman" w:cs="Times New Roman" w:eastAsia="Times New Roman" w:hAnsi="Times New Roman"/>
          <w:i w:val="1"/>
          <w:iCs w:val="1"/>
          <w:sz w:val="24"/>
          <w:szCs w:val="24"/>
          <w:rtl w:val="0"/>
        </w:rPr>
        <w:t xml:space="preserve">Journal of Political Power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71–84. https://doi.org/10.1080/2158379X.2017.1284157</w:t>
      </w:r>
    </w:p>
    <w:p w:rsidR="00000000" w:rsidDel="00000000" w:rsidP="00000000" w:rsidRDefault="00000000" w:rsidRPr="00000000" w14:paraId="000000A8">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Ladkin, D., &amp; Probert, J. (2021). From sovereign to subject: Applying Foucault’s conceptualization of power to leading and studying power within leadership. </w:t>
      </w:r>
      <w:r w:rsidDel="00000000" w:rsidR="00000000" w:rsidRPr="00000000">
        <w:rPr>
          <w:rFonts w:ascii="Times New Roman" w:cs="Times New Roman" w:eastAsia="Times New Roman" w:hAnsi="Times New Roman"/>
          <w:i w:val="1"/>
          <w:iCs w:val="1"/>
          <w:sz w:val="24"/>
          <w:szCs w:val="24"/>
          <w:rtl w:val="0"/>
        </w:rPr>
        <w:t xml:space="preserve">The Leadership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(4), 101310. https://doi.org/10.1016/j.leaqua.2019.101310</w:t>
      </w:r>
    </w:p>
    <w:p w:rsidR="00000000" w:rsidDel="00000000" w:rsidP="00000000" w:rsidRDefault="00000000" w:rsidRPr="00000000" w14:paraId="000000A9">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Lassa, S., Saddiq, M., Owen, J., Burton, C., &amp; Balen, J. (2022). Power Dynamics Among Health Professionals in Nigeria: A Case Study of the Global Fund Policy Process. </w:t>
      </w:r>
      <w:r w:rsidDel="00000000" w:rsidR="00000000" w:rsidRPr="00000000">
        <w:rPr>
          <w:rFonts w:ascii="Times New Roman" w:cs="Times New Roman" w:eastAsia="Times New Roman" w:hAnsi="Times New Roman"/>
          <w:i w:val="1"/>
          <w:iCs w:val="1"/>
          <w:sz w:val="24"/>
          <w:szCs w:val="24"/>
          <w:rtl w:val="0"/>
        </w:rPr>
        <w:t xml:space="preserve">International Journal of Health Policy and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(12), 2876–2885. https://doi.org/10.34172/ijhpm.2022.6097</w:t>
      </w:r>
    </w:p>
    <w:p w:rsidR="00000000" w:rsidDel="00000000" w:rsidP="00000000" w:rsidRDefault="00000000" w:rsidRPr="00000000" w14:paraId="000000AA">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Lickhardt, M. (2017). Game Logic in the TV Series the Walking Dead: On Transmedial Plot Structures and Character Layouts. </w:t>
      </w:r>
      <w:r w:rsidDel="00000000" w:rsidR="00000000" w:rsidRPr="00000000">
        <w:rPr>
          <w:rFonts w:ascii="Times New Roman" w:cs="Times New Roman" w:eastAsia="Times New Roman" w:hAnsi="Times New Roman"/>
          <w:i w:val="1"/>
          <w:iCs w:val="1"/>
          <w:sz w:val="24"/>
          <w:szCs w:val="24"/>
          <w:rtl w:val="0"/>
        </w:rPr>
        <w:t xml:space="preserve">Open Cultural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359–368. https://doi.org/10.1515/culture-2017-0033</w:t>
      </w:r>
    </w:p>
    <w:p w:rsidR="00000000" w:rsidDel="00000000" w:rsidP="00000000" w:rsidRDefault="00000000" w:rsidRPr="00000000" w14:paraId="000000AB">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Looi, J. C. L., Allison, S., Bastiampillai, T., &amp; Maguire, P. (2020). Fire, disease and fear: Effects of the media coverage of 2019–2020 Australian bushfires and novel coronavirus 2019 on population mental health. </w:t>
      </w:r>
      <w:r w:rsidDel="00000000" w:rsidR="00000000" w:rsidRPr="00000000">
        <w:rPr>
          <w:rFonts w:ascii="Times New Roman" w:cs="Times New Roman" w:eastAsia="Times New Roman" w:hAnsi="Times New Roman"/>
          <w:i w:val="1"/>
          <w:iCs w:val="1"/>
          <w:sz w:val="24"/>
          <w:szCs w:val="24"/>
          <w:rtl w:val="0"/>
        </w:rPr>
        <w:t xml:space="preserve">Australian and New Zealand Journal of Psychiatry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54</w:t>
      </w:r>
      <w:r w:rsidDel="00000000" w:rsidR="00000000" w:rsidRPr="00000000">
        <w:rPr>
          <w:rFonts w:ascii="Times New Roman" w:cs="Times New Roman" w:eastAsia="Times New Roman" w:hAnsi="Times New Roman"/>
          <w:sz w:val="24"/>
          <w:szCs w:val="24"/>
          <w:rtl w:val="0"/>
        </w:rPr>
        <w:t xml:space="preserve">(9), 938–939. https://doi.org/10.1177/0004867420931163</w:t>
      </w:r>
    </w:p>
    <w:p w:rsidR="00000000" w:rsidDel="00000000" w:rsidP="00000000" w:rsidRDefault="00000000" w:rsidRPr="00000000" w14:paraId="000000AC">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Lopes, P., Liapis, A., &amp; Yannakakis, G. N. (2019). Modelling affect for horror soundscapes. </w:t>
      </w:r>
      <w:r w:rsidDel="00000000" w:rsidR="00000000" w:rsidRPr="00000000">
        <w:rPr>
          <w:rFonts w:ascii="Times New Roman" w:cs="Times New Roman" w:eastAsia="Times New Roman" w:hAnsi="Times New Roman"/>
          <w:i w:val="1"/>
          <w:iCs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(2), 209–222. https://doi.org/10.1109/TAFFC.2017.2695460</w:t>
      </w:r>
    </w:p>
    <w:p w:rsidR="00000000" w:rsidDel="00000000" w:rsidP="00000000" w:rsidRDefault="00000000" w:rsidRPr="00000000" w14:paraId="000000AD">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Maulida Laily Kusuma Wati, Fatkhur Rohman, &amp; Tommi Yuniawan. (2023). Analisis Semiotika Roland Barthes dan Nilai Moral dalam Film Pendek Tilik 2018 Karya Wahyu Agung Prasetya. </w:t>
      </w:r>
      <w:r w:rsidDel="00000000" w:rsidR="00000000" w:rsidRPr="00000000">
        <w:rPr>
          <w:rFonts w:ascii="Times New Roman" w:cs="Times New Roman" w:eastAsia="Times New Roman" w:hAnsi="Times New Roman"/>
          <w:i w:val="1"/>
          <w:iCs w:val="1"/>
          <w:sz w:val="24"/>
          <w:szCs w:val="24"/>
          <w:rtl w:val="0"/>
        </w:rPr>
        <w:t xml:space="preserve">Jurnal Onoma: Pendidikan, Bahasa, Dan Sastra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1306–1315. https://doi.org/10.30605/onoma.v9i2.3023</w:t>
      </w:r>
    </w:p>
    <w:p w:rsidR="00000000" w:rsidDel="00000000" w:rsidP="00000000" w:rsidRDefault="00000000" w:rsidRPr="00000000" w14:paraId="000000AE">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Metzger, J.-L. (2016). Penser avec Foucault pour comprendre l’extension du pouvoir en régime néolibéral. </w:t>
      </w:r>
      <w:r w:rsidDel="00000000" w:rsidR="00000000" w:rsidRPr="00000000">
        <w:rPr>
          <w:rFonts w:ascii="Times New Roman" w:cs="Times New Roman" w:eastAsia="Times New Roman" w:hAnsi="Times New Roman"/>
          <w:i w:val="1"/>
          <w:iCs w:val="1"/>
          <w:sz w:val="24"/>
          <w:szCs w:val="24"/>
          <w:rtl w:val="0"/>
        </w:rPr>
        <w:t xml:space="preserve">Recherches Sociologiques et Anthropologiques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47</w:t>
      </w:r>
      <w:r w:rsidDel="00000000" w:rsidR="00000000" w:rsidRPr="00000000">
        <w:rPr>
          <w:rFonts w:ascii="Times New Roman" w:cs="Times New Roman" w:eastAsia="Times New Roman" w:hAnsi="Times New Roman"/>
          <w:sz w:val="24"/>
          <w:szCs w:val="24"/>
          <w:rtl w:val="0"/>
        </w:rPr>
        <w:t xml:space="preserve">(2), 117–134. https://doi.org/10.4000/rsa.1755</w:t>
      </w:r>
    </w:p>
    <w:p w:rsidR="00000000" w:rsidDel="00000000" w:rsidP="00000000" w:rsidRDefault="00000000" w:rsidRPr="00000000" w14:paraId="000000AF">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Monforte, J., Pérez-Samaniego, V., &amp; Smith, B. (2020). Traveling Material↔Semiotic Environments of Disability, Rehabilitation, and Physical Activity. </w:t>
      </w:r>
      <w:r w:rsidDel="00000000" w:rsidR="00000000" w:rsidRPr="00000000">
        <w:rPr>
          <w:rFonts w:ascii="Times New Roman" w:cs="Times New Roman" w:eastAsia="Times New Roman" w:hAnsi="Times New Roman"/>
          <w:i w:val="1"/>
          <w:iCs w:val="1"/>
          <w:sz w:val="24"/>
          <w:szCs w:val="24"/>
          <w:rtl w:val="0"/>
        </w:rPr>
        <w:t xml:space="preserve">Qualitative Health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(8), 1249–1261. https://doi.org/10.1177/1049732318820520</w:t>
      </w:r>
    </w:p>
    <w:p w:rsidR="00000000" w:rsidDel="00000000" w:rsidP="00000000" w:rsidRDefault="00000000" w:rsidRPr="00000000" w14:paraId="000000B0">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Mukhlas, M., Asyari, A. K., Hidayah, N., Kirom, S. M., &amp; Pratama, R. (2023). An Analysis of the Main Character Conflict of the Roommate Movie Script by Sonny Malhi. </w:t>
      </w:r>
      <w:r w:rsidDel="00000000" w:rsidR="00000000" w:rsidRPr="00000000">
        <w:rPr>
          <w:rFonts w:ascii="Times New Roman" w:cs="Times New Roman" w:eastAsia="Times New Roman" w:hAnsi="Times New Roman"/>
          <w:i w:val="1"/>
          <w:iCs w:val="1"/>
          <w:sz w:val="24"/>
          <w:szCs w:val="24"/>
          <w:rtl w:val="0"/>
        </w:rPr>
        <w:t xml:space="preserve">TLEMC (Teaching and Learning English in Multicultural Contexts)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(2), 108–117. https://doi.org/10.37058/tlemc.v7i2.9014</w:t>
      </w:r>
    </w:p>
    <w:p w:rsidR="00000000" w:rsidDel="00000000" w:rsidP="00000000" w:rsidRDefault="00000000" w:rsidRPr="00000000" w14:paraId="000000B1">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 (2022). A Study on the Relationship between Material Image and Fear. </w:t>
      </w:r>
      <w:r w:rsidDel="00000000" w:rsidR="00000000" w:rsidRPr="00000000">
        <w:rPr>
          <w:rFonts w:ascii="Times New Roman" w:cs="Times New Roman" w:eastAsia="Times New Roman" w:hAnsi="Times New Roman"/>
          <w:i w:val="1"/>
          <w:iCs w:val="1"/>
          <w:sz w:val="24"/>
          <w:szCs w:val="24"/>
          <w:rtl w:val="0"/>
        </w:rPr>
        <w:t xml:space="preserve">The Korean Society of Culture and Convergence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(1), 715–733. https://doi.org/10.33645/cnc.2022.01.44.1.715</w:t>
      </w:r>
    </w:p>
    <w:p w:rsidR="00000000" w:rsidDel="00000000" w:rsidP="00000000" w:rsidRDefault="00000000" w:rsidRPr="00000000" w14:paraId="000000B2">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Paramagururaj, S., &amp; Subha, M. (2023). Foucauldian Power in The Circle by Dave Eggers. </w:t>
      </w:r>
      <w:r w:rsidDel="00000000" w:rsidR="00000000" w:rsidRPr="00000000">
        <w:rPr>
          <w:rFonts w:ascii="Times New Roman" w:cs="Times New Roman" w:eastAsia="Times New Roman" w:hAnsi="Times New Roman"/>
          <w:i w:val="1"/>
          <w:iCs w:val="1"/>
          <w:sz w:val="24"/>
          <w:szCs w:val="24"/>
          <w:rtl w:val="0"/>
        </w:rPr>
        <w:t xml:space="preserve">Jordan Journal of Modern Languages and Literatures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(1), 365–375. https://doi.org/10.47012/jjmll.15.1.19</w:t>
      </w:r>
    </w:p>
    <w:p w:rsidR="00000000" w:rsidDel="00000000" w:rsidP="00000000" w:rsidRDefault="00000000" w:rsidRPr="00000000" w14:paraId="000000B3">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Paskaleva, B. (2024). Pre-structuralist semiology: materiality of language in Ferdinand de Saussure. In </w:t>
      </w:r>
      <w:r w:rsidDel="00000000" w:rsidR="00000000" w:rsidRPr="00000000">
        <w:rPr>
          <w:rFonts w:ascii="Times New Roman" w:cs="Times New Roman" w:eastAsia="Times New Roman" w:hAnsi="Times New Roman"/>
          <w:i w:val="1"/>
          <w:iCs w:val="1"/>
          <w:sz w:val="24"/>
          <w:szCs w:val="24"/>
          <w:rtl w:val="0"/>
        </w:rPr>
        <w:t xml:space="preserve">Semiotica</w:t>
      </w:r>
      <w:r w:rsidDel="00000000" w:rsidR="00000000" w:rsidRPr="00000000">
        <w:rPr>
          <w:rFonts w:ascii="Times New Roman" w:cs="Times New Roman" w:eastAsia="Times New Roman" w:hAnsi="Times New Roman"/>
          <w:sz w:val="24"/>
          <w:szCs w:val="24"/>
          <w:rtl w:val="0"/>
        </w:rPr>
        <w:t xml:space="preserve"> (Vol. 2024, Issue 259). https://doi.org/10.1515/sem-2023-0114</w:t>
      </w:r>
    </w:p>
    <w:p w:rsidR="00000000" w:rsidDel="00000000" w:rsidP="00000000" w:rsidRDefault="00000000" w:rsidRPr="00000000" w14:paraId="000000B4">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J. G. (2022). The Affective Aesthetics of Fictional Objects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A Companion to Latin American Literature and Culture</w:t>
      </w:r>
      <w:r w:rsidDel="00000000" w:rsidR="00000000" w:rsidRPr="00000000">
        <w:rPr>
          <w:rFonts w:ascii="Times New Roman" w:cs="Times New Roman" w:eastAsia="Times New Roman" w:hAnsi="Times New Roman"/>
          <w:sz w:val="24"/>
          <w:szCs w:val="24"/>
          <w:rtl w:val="0"/>
        </w:rPr>
        <w:t xml:space="preserve"> (pp. 714–727). Wiley. https://doi.org/10.1002/9781119692591.ch45</w:t>
      </w:r>
    </w:p>
    <w:p w:rsidR="00000000" w:rsidDel="00000000" w:rsidP="00000000" w:rsidRDefault="00000000" w:rsidRPr="00000000" w14:paraId="000000B5">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Rizki, D. C. (2022). Analisis Semiotika pada Kumpulan Lagu Karya Mahalini Raharja. </w:t>
      </w:r>
      <w:r w:rsidDel="00000000" w:rsidR="00000000" w:rsidRPr="00000000">
        <w:rPr>
          <w:rFonts w:ascii="Times New Roman" w:cs="Times New Roman" w:eastAsia="Times New Roman" w:hAnsi="Times New Roman"/>
          <w:i w:val="1"/>
          <w:iCs w:val="1"/>
          <w:sz w:val="24"/>
          <w:szCs w:val="24"/>
          <w:rtl w:val="0"/>
        </w:rPr>
        <w:t xml:space="preserve">J-LELC: Journal of Language Education, Linguistics, and 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86–93. https://doi.org/10.25299/j-lelc.2022.9928</w:t>
      </w:r>
    </w:p>
    <w:p w:rsidR="00000000" w:rsidDel="00000000" w:rsidP="00000000" w:rsidRDefault="00000000" w:rsidRPr="00000000" w14:paraId="000000B6">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Salmia, S. S. (2023). DEVELOPMENT OF QUALITY INSTRUMENTS AND DATA COLLECTION TECHNIQUES. </w:t>
      </w:r>
      <w:r w:rsidDel="00000000" w:rsidR="00000000" w:rsidRPr="00000000">
        <w:rPr>
          <w:rFonts w:ascii="Times New Roman" w:cs="Times New Roman" w:eastAsia="Times New Roman" w:hAnsi="Times New Roman"/>
          <w:i w:val="1"/>
          <w:iCs w:val="1"/>
          <w:sz w:val="24"/>
          <w:szCs w:val="24"/>
          <w:rtl w:val="0"/>
        </w:rPr>
        <w:t xml:space="preserve">Jurnal Pendidikan Dan Pengajaran Guru Sekolah Dasar (JPPGuseda)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119–124. https://doi.org/10.55215/jppguseda.v6i1.7527</w:t>
      </w:r>
    </w:p>
    <w:p w:rsidR="00000000" w:rsidDel="00000000" w:rsidP="00000000" w:rsidRDefault="00000000" w:rsidRPr="00000000" w14:paraId="000000B7">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Sevilla-Liu, A. (2023). The theoretical basis of a functional-descriptive approach to qualitative research in CBS: With a focus on narrative analysis and practice. </w:t>
      </w:r>
      <w:r w:rsidDel="00000000" w:rsidR="00000000" w:rsidRPr="00000000">
        <w:rPr>
          <w:rFonts w:ascii="Times New Roman" w:cs="Times New Roman" w:eastAsia="Times New Roman" w:hAnsi="Times New Roman"/>
          <w:i w:val="1"/>
          <w:iCs w:val="1"/>
          <w:sz w:val="24"/>
          <w:szCs w:val="24"/>
          <w:rtl w:val="0"/>
        </w:rPr>
        <w:t xml:space="preserve">Journal of Contextual Behavioral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(May), 210–216. https://doi.org/10.1016/j.jcbs.2023.11.001</w:t>
      </w:r>
    </w:p>
    <w:p w:rsidR="00000000" w:rsidDel="00000000" w:rsidP="00000000" w:rsidRDefault="00000000" w:rsidRPr="00000000" w14:paraId="000000B8">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Skorokhod, T., &amp; Smola, L. (2022). Visualization as a Means of Influence (on the Example of Student Periodicals). </w:t>
      </w:r>
      <w:r w:rsidDel="00000000" w:rsidR="00000000" w:rsidRPr="00000000">
        <w:rPr>
          <w:rFonts w:ascii="Times New Roman" w:cs="Times New Roman" w:eastAsia="Times New Roman" w:hAnsi="Times New Roman"/>
          <w:i w:val="1"/>
          <w:iCs w:val="1"/>
          <w:sz w:val="24"/>
          <w:szCs w:val="24"/>
          <w:rtl w:val="0"/>
        </w:rPr>
        <w:t xml:space="preserve">Revista Amazonia Investiga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(51), 267–280. https://doi.org/10.34069/ai/2022.51.03.27</w:t>
      </w:r>
    </w:p>
    <w:p w:rsidR="00000000" w:rsidDel="00000000" w:rsidP="00000000" w:rsidRDefault="00000000" w:rsidRPr="00000000" w14:paraId="000000B9">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Sopuck, F. A. (2021). Fear in the Cinema and the Definition of Horror. In </w:t>
      </w:r>
      <w:r w:rsidDel="00000000" w:rsidR="00000000" w:rsidRPr="00000000">
        <w:rPr>
          <w:rFonts w:ascii="Times New Roman" w:cs="Times New Roman" w:eastAsia="Times New Roman" w:hAnsi="Times New Roman"/>
          <w:i w:val="1"/>
          <w:iCs w:val="1"/>
          <w:sz w:val="24"/>
          <w:szCs w:val="24"/>
          <w:rtl w:val="0"/>
        </w:rPr>
        <w:t xml:space="preserve">The Aesthetics of Horror Films</w:t>
      </w:r>
      <w:r w:rsidDel="00000000" w:rsidR="00000000" w:rsidRPr="00000000">
        <w:rPr>
          <w:rFonts w:ascii="Times New Roman" w:cs="Times New Roman" w:eastAsia="Times New Roman" w:hAnsi="Times New Roman"/>
          <w:sz w:val="24"/>
          <w:szCs w:val="24"/>
          <w:rtl w:val="0"/>
        </w:rPr>
        <w:t xml:space="preserve"> (pp. 51–65). Springer International Publishing. https://doi.org/10.1007/978-3-030-84346-5_3</w:t>
      </w:r>
    </w:p>
    <w:p w:rsidR="00000000" w:rsidDel="00000000" w:rsidP="00000000" w:rsidRDefault="00000000" w:rsidRPr="00000000" w14:paraId="000000BA">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 Xiao, M., &amp; Zhu, X. (2022). Rethinking utopian and dystopian imagination in island literature and culture. </w:t>
      </w:r>
      <w:r w:rsidDel="00000000" w:rsidR="00000000" w:rsidRPr="00000000">
        <w:rPr>
          <w:rFonts w:ascii="Times New Roman" w:cs="Times New Roman" w:eastAsia="Times New Roman" w:hAnsi="Times New Roman"/>
          <w:i w:val="1"/>
          <w:iCs w:val="1"/>
          <w:sz w:val="24"/>
          <w:szCs w:val="24"/>
          <w:rtl w:val="0"/>
        </w:rPr>
        <w:t xml:space="preserve">Island Studies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(2), 3–12. https://doi.org/10.24043/isj.392</w:t>
      </w:r>
    </w:p>
    <w:p w:rsidR="00000000" w:rsidDel="00000000" w:rsidP="00000000" w:rsidRDefault="00000000" w:rsidRPr="00000000" w14:paraId="000000BB">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Swenson, E., &amp; Cipolla, C. N. (2020). Representation and materiality in archaeology: A semiotic reconciliation. </w:t>
      </w:r>
      <w:r w:rsidDel="00000000" w:rsidR="00000000" w:rsidRPr="00000000">
        <w:rPr>
          <w:rFonts w:ascii="Times New Roman" w:cs="Times New Roman" w:eastAsia="Times New Roman" w:hAnsi="Times New Roman"/>
          <w:i w:val="1"/>
          <w:iCs w:val="1"/>
          <w:sz w:val="24"/>
          <w:szCs w:val="24"/>
          <w:rtl w:val="0"/>
        </w:rPr>
        <w:t xml:space="preserve">World Archaeology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(3), 313–329. https://doi.org/10.1080/00438243.2021.1925582</w:t>
      </w:r>
    </w:p>
    <w:p w:rsidR="00000000" w:rsidDel="00000000" w:rsidP="00000000" w:rsidRDefault="00000000" w:rsidRPr="00000000" w14:paraId="000000BC">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Wolfman, G. (2023). First as farce, then as tragedy. </w:t>
      </w:r>
      <w:r w:rsidDel="00000000" w:rsidR="00000000" w:rsidRPr="00000000">
        <w:rPr>
          <w:rFonts w:ascii="Times New Roman" w:cs="Times New Roman" w:eastAsia="Times New Roman" w:hAnsi="Times New Roman"/>
          <w:i w:val="1"/>
          <w:iCs w:val="1"/>
          <w:sz w:val="24"/>
          <w:szCs w:val="24"/>
          <w:rtl w:val="0"/>
        </w:rPr>
        <w:t xml:space="preserve">Masculinities in the US Hangout Sitcom</w:t>
      </w:r>
      <w:r w:rsidDel="00000000" w:rsidR="00000000" w:rsidRPr="00000000">
        <w:rPr>
          <w:rFonts w:ascii="Times New Roman" w:cs="Times New Roman" w:eastAsia="Times New Roman" w:hAnsi="Times New Roman"/>
          <w:sz w:val="24"/>
          <w:szCs w:val="24"/>
          <w:rtl w:val="0"/>
        </w:rPr>
        <w:t xml:space="preserve">, 143–169. https://doi.org/10.4324/9781003363538-6</w:t>
      </w:r>
    </w:p>
    <w:p w:rsidR="00000000" w:rsidDel="00000000" w:rsidP="00000000" w:rsidRDefault="00000000" w:rsidRPr="00000000" w14:paraId="000000BD">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K. (2023). Other Writings. In </w:t>
      </w:r>
      <w:r w:rsidDel="00000000" w:rsidR="00000000" w:rsidRPr="00000000">
        <w:rPr>
          <w:rFonts w:ascii="Times New Roman" w:cs="Times New Roman" w:eastAsia="Times New Roman" w:hAnsi="Times New Roman"/>
          <w:i w:val="1"/>
          <w:iCs w:val="1"/>
          <w:sz w:val="24"/>
          <w:szCs w:val="24"/>
          <w:rtl w:val="0"/>
        </w:rPr>
        <w:t xml:space="preserve">Arnold Bennett</w:t>
      </w:r>
      <w:r w:rsidDel="00000000" w:rsidR="00000000" w:rsidRPr="00000000">
        <w:rPr>
          <w:rFonts w:ascii="Times New Roman" w:cs="Times New Roman" w:eastAsia="Times New Roman" w:hAnsi="Times New Roman"/>
          <w:sz w:val="24"/>
          <w:szCs w:val="24"/>
          <w:rtl w:val="0"/>
        </w:rPr>
        <w:t xml:space="preserve">. https://doi.org/10.2307/jj.3079041.7</w:t>
      </w:r>
    </w:p>
    <w:p w:rsidR="00000000" w:rsidDel="00000000" w:rsidP="00000000" w:rsidRDefault="00000000" w:rsidRPr="00000000" w14:paraId="000000BE">
      <w:pPr>
        <w:widowControl w:val="0"/>
        <w:spacing w:line="36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Zizek, S. (2008). Sublime Object. </w:t>
      </w:r>
      <w:r w:rsidDel="00000000" w:rsidR="00000000" w:rsidRPr="00000000">
        <w:rPr>
          <w:rFonts w:ascii="Times New Roman" w:cs="Times New Roman" w:eastAsia="Times New Roman" w:hAnsi="Times New Roman"/>
          <w:i w:val="1"/>
          <w:iCs w:val="1"/>
          <w:sz w:val="24"/>
          <w:szCs w:val="24"/>
          <w:rtl w:val="0"/>
        </w:rPr>
        <w:t xml:space="preserve">New York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701" w:top="2268" w:left="2268"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khwan Rosyidi" w:id="2" w:date="2026-02-13T21:59:4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sources.</w:t>
      </w:r>
    </w:p>
  </w:comment>
  <w:comment w:author="Ikhwan Rosyidi" w:id="1" w:date="2026-02-13T21:57:34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background of the study, please add your highlights of previous studies to state your research gap.</w:t>
      </w:r>
    </w:p>
  </w:comment>
  <w:comment w:author="Ikhwan Rosyidi" w:id="0" w:date="2026-02-13T21:55:48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the scriptwriter's name?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right"/>
      <w:pPr>
        <w:ind w:left="720" w:hanging="360"/>
      </w:pPr>
      <w:rPr>
        <w:b w:val="1"/>
        <w:bCs w:val="1"/>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i w:val="0"/>
        <w:i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a4a24a0c-2c0d-3329-b2ee-d418cd65d843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