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224"/>
        <w:gridCol w:w="2880"/>
        <w:gridCol w:w="2088"/>
        <w:gridCol w:w="4464"/>
      </w:tblGrid>
      <w:tr>
        <w:trPr>
          <w:tblHeader/>
          <w:cantSplit/>
        </w:trPr>
        <w:tc>
          <w:tcPr>
            <w:tcW w:type="dxa" w:w="1224"/>
            <w:shd w:fill="E7E6E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rPr>
                <w:b/>
              </w:rPr>
              <w:t>Code smell name</w:t>
            </w:r>
          </w:p>
        </w:tc>
        <w:tc>
          <w:tcPr>
            <w:tcW w:type="dxa" w:w="2880"/>
            <w:shd w:fill="E7E6E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088"/>
            <w:shd w:fill="E7E6E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rPr>
                <w:b/>
              </w:rPr>
              <w:t>Short description</w:t>
            </w:r>
          </w:p>
        </w:tc>
        <w:tc>
          <w:tcPr>
            <w:tcW w:type="dxa" w:w="4464"/>
            <w:shd w:fill="E7E6E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rPr>
                <w:b/>
              </w:rPr>
              <w:t>What researchers said about it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God Class / Blob</w:t>
            </w:r>
          </w:p>
        </w:tc>
        <w:tc>
          <w:tcPr>
            <w:tcW w:type="dxa" w:w="288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hyperlink r:id="rId9">
              <w:r>
                <w:rPr>
                  <w:color w:val="0563C1"/>
                  <w:u w:val="single"/>
                </w:rPr>
                <w:t>2020: Madeyski &amp; Lewowski — MLCQ: Industry-Relevant Code Smell Data Set</w:t>
              </w:r>
            </w:hyperlink>
          </w:p>
          <w:p>
            <w:pPr>
              <w:spacing w:before="160"/>
            </w:pPr>
            <w:hyperlink r:id="rId10">
              <w:r>
                <w:rPr>
                  <w:color w:val="0563C1"/>
                  <w:u w:val="single"/>
                </w:rPr>
                <w:t>2025: Haroon et al. — From Code to Insight</w:t>
              </w:r>
            </w:hyperlink>
          </w:p>
        </w:tc>
        <w:tc>
          <w:tcPr>
            <w:tcW w:type="dxa" w:w="20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A class takes responsibility for too many different tasks, often combining high coupling with low cohesion.</w:t>
            </w:r>
          </w:p>
        </w:tc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2020: MLCQ supplies professional judgments, including Blob severity, for evaluating detection against human assessments.</w:t>
              <w:br/>
              <w:br/>
              <w:t>2025: Researchers explicitly identify subjectivity and generalization as continuing challenges. Their best metric-based SVM achieved F1 = 0.64 on their MLCQ experiment.</w:t>
              <w:br/>
              <w:br/>
              <w:t>Our interpretation: a strong main research target; not fully solved.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Feature Envy</w:t>
            </w:r>
          </w:p>
        </w:tc>
        <w:tc>
          <w:tcPr>
            <w:tcW w:type="dxa" w:w="288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hyperlink r:id="rId11">
              <w:r>
                <w:rPr>
                  <w:color w:val="0563C1"/>
                  <w:u w:val="single"/>
                </w:rPr>
                <w:t>2024: Škipina et al. — Automatic Detection of Feature Envy and Data Class Code Smells Using Machine Learning</w:t>
              </w:r>
            </w:hyperlink>
          </w:p>
          <w:p>
            <w:pPr>
              <w:spacing w:before="160"/>
            </w:pPr>
            <w:hyperlink r:id="rId12">
              <w:r>
                <w:rPr>
                  <w:color w:val="0563C1"/>
                  <w:u w:val="single"/>
                </w:rPr>
                <w:t>2025: Cruz et al. — Evaluating a Continuous Feedback Strategy to Enhance Machine Learning Code Smell Detection</w:t>
              </w:r>
            </w:hyperlink>
          </w:p>
        </w:tc>
        <w:tc>
          <w:tcPr>
            <w:tcW w:type="dxa" w:w="20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A method depends excessively on another class’s data or behavior, suggesting that responsibilities may be placed in the wrong class.</w:t>
            </w:r>
          </w:p>
        </w:tc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2024: Code embeddings improved average FE F1 by 0.06 over code metrics, showing that representation matters.</w:t>
              <w:br/>
              <w:br/>
              <w:t>2025: An exploratory experiment across 20 Java systems reported an average F1 improvement of 0.72 after simulated feedback cycles. This is an improvement, not a final F1 score, and the feedback came from a service simulating an expert.</w:t>
              <w:br/>
              <w:br/>
              <w:t>Our interpretation: a strong main target for improving contextual detection and reducing incorrect findings.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Large Class</w:t>
            </w:r>
          </w:p>
        </w:tc>
        <w:tc>
          <w:tcPr>
            <w:tcW w:type="dxa" w:w="288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hyperlink r:id="rId13">
              <w:r>
                <w:rPr>
                  <w:color w:val="0563C1"/>
                  <w:u w:val="single"/>
                </w:rPr>
                <w:t>2021 journal publication (online 2019): Liu et al. — Deep Learning Based Code Smell Detection</w:t>
              </w:r>
            </w:hyperlink>
          </w:p>
          <w:p>
            <w:pPr>
              <w:spacing w:before="160"/>
            </w:pPr>
            <w:hyperlink r:id="rId14">
              <w:r>
                <w:rPr>
                  <w:color w:val="0563C1"/>
                  <w:u w:val="single"/>
                </w:rPr>
                <w:t>2026 preprint: Zhang &amp; Kishi — SACS: A Code Smell Dataset Using Semi-Automatic Generation Approach</w:t>
              </w:r>
            </w:hyperlink>
          </w:p>
        </w:tc>
        <w:tc>
          <w:tcPr>
            <w:tcW w:type="dxa" w:w="20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A class contains excessive code, methods or state. Large size alone does not automatically establish that it is a God Class.</w:t>
            </w:r>
          </w:p>
        </w:tc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2021: Researchers developed deep-learning detection for Large Class and other smells, identifying insufficient labeled training data as a major challenge.</w:t>
              <w:br/>
              <w:br/>
              <w:t>2026: SACS combines automatic generation with manual review of ambiguous cases to address dataset quality and annotation cost.</w:t>
              <w:br/>
              <w:br/>
              <w:t>Our interpretation: detection approaches exist, but dependable labels and generalization remain open concerns. Use it as a comparison target.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Long Method</w:t>
            </w:r>
          </w:p>
        </w:tc>
        <w:tc>
          <w:tcPr>
            <w:tcW w:type="dxa" w:w="288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hyperlink r:id="rId15">
              <w:r>
                <w:rPr>
                  <w:color w:val="0563C1"/>
                  <w:u w:val="single"/>
                </w:rPr>
                <w:t>2022: Reis et al. — Crowdsmelling: A Preliminary Study on Using Collective Knowledge in Code Smells Detection</w:t>
              </w:r>
            </w:hyperlink>
          </w:p>
          <w:p>
            <w:pPr>
              <w:spacing w:before="160"/>
            </w:pPr>
            <w:hyperlink r:id="rId16">
              <w:r>
                <w:rPr>
                  <w:color w:val="0563C1"/>
                  <w:u w:val="single"/>
                </w:rPr>
                <w:t>2025: ImprovMLCQ: A Feature-Enriched Dataset for Advancing Code Smell Detection</w:t>
              </w:r>
            </w:hyperlink>
          </w:p>
        </w:tc>
        <w:tc>
          <w:tcPr>
            <w:tcW w:type="dxa" w:w="20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A method becomes excessively long or combines responsibilities that would benefit from separation.</w:t>
            </w:r>
          </w:p>
        </w:tc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2022: Crowdsmelling collected human classifications of Java Long Method, God Class and Feature Envy examples to support learning-based detection.</w:t>
              <w:br/>
              <w:br/>
              <w:t>2025: ImprovMLCQ reports disagreement between automated detectors and expert labels, including substantial Long Method misclassification. It also investigates richer features for ML.</w:t>
              <w:br/>
              <w:br/>
              <w:t>Our interpretation: a useful rule-versus-ML baseline, but a line-count threshold does not settle whether decomposition is appropriate.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Data Class</w:t>
            </w:r>
          </w:p>
        </w:tc>
        <w:tc>
          <w:tcPr>
            <w:tcW w:type="dxa" w:w="288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hyperlink r:id="rId17">
              <w:r>
                <w:rPr>
                  <w:color w:val="0563C1"/>
                  <w:u w:val="single"/>
                </w:rPr>
                <w:t>2024: Aljamaan — Dynamic Stacking Ensemble for Cross-Language Code Smell Detection</w:t>
              </w:r>
            </w:hyperlink>
          </w:p>
          <w:p>
            <w:pPr>
              <w:spacing w:before="160"/>
            </w:pPr>
            <w:hyperlink r:id="rId18">
              <w:r>
                <w:rPr>
                  <w:color w:val="0563C1"/>
                  <w:u w:val="single"/>
                </w:rPr>
                <w:t>2025: Alomari et al. — SmellyCode++: Multi-Label Dataset for Code Smell Detection</w:t>
              </w:r>
            </w:hyperlink>
          </w:p>
        </w:tc>
        <w:tc>
          <w:tcPr>
            <w:tcW w:type="dxa" w:w="20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A class mainly exposes stored data while relevant behavior is implemented elsewhere. Whether this is problematic depends on its intended role.</w:t>
            </w:r>
          </w:p>
        </w:tc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2024: The Java Data Class benchmark produced F1 = 0.9816 for the backward-elimination stacking model.</w:t>
              <w:br/>
              <w:br/>
              <w:t>2025: SmellyCode++ includes Data Class alongside other potentially co-occurring smells and reports F1 = 0.9589 for its presented CoRT evaluation. These are different dataset-specific results, not proof that every Java Data Class can be detected correctly.</w:t>
              <w:br/>
              <w:br/>
              <w:t>Our interpretation: a useful secondary target; evaluate contextual false positives.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145/3383219.3383264" TargetMode="External"/><Relationship Id="rId10" Type="http://schemas.openxmlformats.org/officeDocument/2006/relationships/hyperlink" Target="https://doi.org/10.1007/s10515-025-00534-4" TargetMode="External"/><Relationship Id="rId11" Type="http://schemas.openxmlformats.org/officeDocument/2006/relationships/hyperlink" Target="https://doi.org/10.1016/j.eswa.2023.122855" TargetMode="External"/><Relationship Id="rId12" Type="http://schemas.openxmlformats.org/officeDocument/2006/relationships/hyperlink" Target="https://doi.org/10.1016/j.scico.2025.103346" TargetMode="External"/><Relationship Id="rId13" Type="http://schemas.openxmlformats.org/officeDocument/2006/relationships/hyperlink" Target="https://doi.org/10.1109/TSE.2019.2936376" TargetMode="External"/><Relationship Id="rId14" Type="http://schemas.openxmlformats.org/officeDocument/2006/relationships/hyperlink" Target="https://arxiv.org/abs/2602.15342" TargetMode="External"/><Relationship Id="rId15" Type="http://schemas.openxmlformats.org/officeDocument/2006/relationships/hyperlink" Target="https://doi.org/10.1007/s10664-021-10110-5" TargetMode="External"/><Relationship Id="rId16" Type="http://schemas.openxmlformats.org/officeDocument/2006/relationships/hyperlink" Target="https://homepages.dcc.ufmg.br/~figueiredo/publications/sbcars2025preprint.pdf" TargetMode="External"/><Relationship Id="rId17" Type="http://schemas.openxmlformats.org/officeDocument/2006/relationships/hyperlink" Target="https://doi.org/10.7717/peerj-cs.2254" TargetMode="External"/><Relationship Id="rId18" Type="http://schemas.openxmlformats.org/officeDocument/2006/relationships/hyperlink" Target="https://doi.org/10.1038/s41597-025-05465-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