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376"/>
        <w:gridCol w:w="2952"/>
        <w:gridCol w:w="5328"/>
      </w:tblGrid>
      <w:tr>
        <w:trPr>
          <w:tblHeader/>
          <w:cantSplit/>
        </w:trPr>
        <w:tc>
          <w:tcPr>
            <w:tcW w:type="dxa" w:w="2376"/>
            <w:shd w:fill="E7E6E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Dataset</w:t>
            </w:r>
          </w:p>
        </w:tc>
        <w:tc>
          <w:tcPr>
            <w:tcW w:type="dxa" w:w="2952"/>
            <w:shd w:fill="E7E6E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Code smells covered</w:t>
            </w:r>
          </w:p>
        </w:tc>
        <w:tc>
          <w:tcPr>
            <w:tcW w:type="dxa" w:w="5328"/>
            <w:shd w:fill="E7E6E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Dataset link / what to download</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MLCQ — original dataset</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t>God Class (named Blob), Feature Envy, Long Method, Data Class</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hyperlink r:id="rId9">
              <w:r>
                <w:rPr>
                  <w:color w:val="0563C1"/>
                  <w:u w:val="single"/>
                </w:rPr>
                <w:t>Download from Zenodo</w:t>
              </w:r>
            </w:hyperlink>
            <w:r>
              <w:t>. Select MLCQCodeSmellSamples.csv or its Excel equivalent. The smells share one dataset; filter by smell type.</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Fontana / ESSeRE benchmark</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t>God Class, Feature Envy, Long Method, Data Class; the extended archive also includes Long Parameter List and Switch Statements.</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hyperlink r:id="rId10">
              <w:r>
                <w:rPr>
                  <w:color w:val="0563C1"/>
                  <w:u w:val="single"/>
                </w:rPr>
                <w:t>Binary classification dataset ZIP — Google Drive</w:t>
              </w:r>
            </w:hyperlink>
            <w:r>
              <w:t xml:space="preserve">. </w:t>
            </w:r>
            <w:hyperlink r:id="rId11">
              <w:r>
                <w:rPr>
                  <w:color w:val="0563C1"/>
                  <w:u w:val="single"/>
                </w:rPr>
                <w:t>Original university source page</w:t>
              </w:r>
            </w:hyperlink>
            <w:r>
              <w:t>. Older benchmark.</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Crowdsmelling</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t>God Class, Feature Envy, Long Method</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hyperlink r:id="rId12">
              <w:r>
                <w:rPr>
                  <w:color w:val="0563C1"/>
                  <w:u w:val="single"/>
                </w:rPr>
                <w:t>Dataset files on Zenodo</w:t>
              </w:r>
            </w:hyperlink>
            <w:r>
              <w:t>. Separate CSVs are named god-class-…, feature-envy-…, and long-method-….</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DeepSmellDetection — Liu et al.</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t>Large Class, Feature Envy, Long Method, plus Misplaced Class</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hyperlink r:id="rId13">
              <w:r>
                <w:rPr>
                  <w:color w:val="0563C1"/>
                  <w:u w:val="single"/>
                </w:rPr>
                <w:t>Dataset and replication repository</w:t>
              </w:r>
            </w:hyperlink>
            <w:r>
              <w:t>. Open the corresponding large class, feature envy, or long method folder.</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MLCQ prepared subset — Škipina et al.</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t>Feature Envy and Data Class only</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hyperlink r:id="rId14">
              <w:r>
                <w:rPr>
                  <w:color w:val="0563C1"/>
                  <w:u w:val="single"/>
                </w:rPr>
                <w:t>Dataset and extracted features</w:t>
              </w:r>
            </w:hyperlink>
            <w:r>
              <w:t>. The README provides separate links for each smell’s labeled code snippets, metrics, and embeddings. This reuses MLCQ; it is not an independent dataset.</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ImprovMLCQ</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t>God Class/Blob, Feature Envy, Long Method, Data Class</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hyperlink r:id="rId15">
              <w:r>
                <w:rPr>
                  <w:color w:val="0563C1"/>
                  <w:u w:val="single"/>
                </w:rPr>
                <w:t>Dataset on Zenodo</w:t>
              </w:r>
            </w:hyperlink>
            <w:r>
              <w:t xml:space="preserve"> · </w:t>
            </w:r>
            <w:hyperlink r:id="rId16">
              <w:r>
                <w:rPr>
                  <w:color w:val="0563C1"/>
                  <w:u w:val="single"/>
                </w:rPr>
                <w:t>Documentation</w:t>
              </w:r>
            </w:hyperlink>
            <w:r>
              <w:t>. Includes out.csv and out_clean.csv, with additional tool-derived features.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b/>
              </w:rPr>
              <w:t>SmellyCode++</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t>God Class, Feature Envy, Long Method, Data Class</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hyperlink r:id="rId17">
              <w:r>
                <w:rPr>
                  <w:color w:val="0563C1"/>
                  <w:u w:val="single"/>
                </w:rPr>
                <w:t>Dataset DOI — Figshare</w:t>
              </w:r>
            </w:hyperlink>
            <w:r>
              <w:t xml:space="preserve"> · </w:t>
            </w:r>
            <w:hyperlink r:id="rId18">
              <w:r>
                <w:rPr>
                  <w:color w:val="0563C1"/>
                  <w:u w:val="single"/>
                </w:rPr>
                <w:t>Author’s repository</w:t>
              </w:r>
            </w:hyperlink>
            <w:r>
              <w:t>. Repository opened successfully; the Figshare download could not be verified through my browser tool.</w:t>
            </w:r>
          </w:p>
        </w:tc>
      </w:tr>
    </w:tbl>
    <w:p>
      <w:r>
        <w:br w:type="page"/>
      </w:r>
    </w:p>
    <w:p>
      <w:pPr>
        <w:pStyle w:val="Title"/>
      </w:pPr>
      <w:r>
        <w:t>Code Smell Detection Datasets: Record Counts and Sources</w:t>
      </w:r>
    </w:p>
    <w:p>
      <w:pPr>
        <w:pStyle w:val="Heading1"/>
      </w:pPr>
      <w:r>
        <w:t>1. Overview</w:t>
      </w:r>
    </w:p>
    <w:p>
      <w:r>
        <w:t>The following table presents the record counts for seven code smell detection datasets and research resources. The counts were collected from selected files or published sources and checked on 8 October 2026 (UTC).</w:t>
      </w:r>
    </w:p>
    <w:p>
      <w:r>
        <w:t>In this report, records refers to data entries, annotations, or samples—not physical Java source-code lines. Each dataset may use a different representation, and the counts are not necessarily directly comparable.</w:t>
      </w:r>
    </w:p>
    <w:p>
      <w:pPr>
        <w:pStyle w:val="Heading1"/>
      </w:pPr>
      <w:r>
        <w:t>2. Dataset record counts</w:t>
      </w:r>
    </w:p>
    <w:tbl>
      <w:tblPr>
        <w:tblW w:type="auto" w:w="0"/>
        <w:tblLayout w:type="fixed"/>
        <w:tblLook w:firstColumn="1" w:firstRow="1" w:lastColumn="0" w:lastRow="0" w:noHBand="0" w:noVBand="1" w:val="04A0"/>
      </w:tblPr>
      <w:tblGrid>
        <w:gridCol w:w="576"/>
        <w:gridCol w:w="2520"/>
        <w:gridCol w:w="4104"/>
        <w:gridCol w:w="1584"/>
        <w:gridCol w:w="1872"/>
      </w:tblGrid>
      <w:tr>
        <w:trPr>
          <w:tblHeade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jc w:val="center"/>
            </w:pPr>
            <w:r>
              <w:rPr>
                <w:b/>
                <w:sz w:val="20"/>
              </w:rPr>
              <w:t>No.</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pPr>
            <w:r>
              <w:rPr>
                <w:b/>
                <w:sz w:val="20"/>
              </w:rPr>
              <w:t>Dataset</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pPr>
            <w:r>
              <w:rPr>
                <w:b/>
                <w:sz w:val="20"/>
              </w:rPr>
              <w:t>Code Smell Category</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jc w:val="center"/>
            </w:pPr>
            <w:r>
              <w:rPr>
                <w:b/>
                <w:sz w:val="20"/>
              </w:rPr>
              <w:t>Records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jc w:val="center"/>
            </w:pPr>
            <w:r>
              <w:rPr>
                <w:b/>
                <w:sz w:val="20"/>
              </w:rPr>
              <w:t>Total Records</w:t>
            </w:r>
          </w:p>
        </w:tc>
      </w:tr>
      <w:tr>
        <w:trPr>
          <w:cantSplit/>
        </w:trPr>
        <w:tc>
          <w:tcPr>
            <w:tcW w:type="dxa" w:w="576"/>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w:t>
            </w:r>
          </w:p>
          <w:p>
            <w:pPr>
              <w:spacing w:after="40"/>
              <w:jc w:val="center"/>
            </w:pPr>
            <w:r>
              <w:rPr>
                <w:b w:val="0"/>
                <w:sz w:val="20"/>
              </w:rPr>
            </w:r>
          </w:p>
          <w:p>
            <w:pPr>
              <w:spacing w:after="40"/>
              <w:jc w:val="center"/>
            </w:pPr>
            <w:r>
              <w:rPr>
                <w:b w:val="0"/>
                <w:sz w:val="20"/>
              </w:rPr>
            </w:r>
          </w:p>
          <w:p>
            <w:pPr>
              <w:spacing w:after="40"/>
              <w:jc w:val="center"/>
            </w:pPr>
            <w:r>
              <w:rPr>
                <w:b w:val="0"/>
                <w:sz w:val="20"/>
              </w:rPr>
            </w:r>
          </w:p>
        </w:tc>
        <w:tc>
          <w:tcPr>
            <w:tcW w:type="dxa" w:w="2520"/>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MLCQ</w:t>
            </w:r>
          </w:p>
          <w:p>
            <w:pPr>
              <w:spacing w:after="40"/>
            </w:pPr>
            <w:r>
              <w:rPr>
                <w:b w:val="0"/>
                <w:sz w:val="20"/>
              </w:rPr>
            </w:r>
          </w:p>
          <w:p>
            <w:pPr>
              <w:spacing w:after="40"/>
            </w:pPr>
            <w:r>
              <w:rPr>
                <w:b w:val="0"/>
                <w:sz w:val="20"/>
              </w:rPr>
            </w:r>
          </w:p>
          <w:p>
            <w:pPr>
              <w:spacing w:after="40"/>
            </w:pPr>
            <w:r>
              <w:rPr>
                <w:b w:val="0"/>
                <w:sz w:val="20"/>
              </w:rPr>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Blob (God Class)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4,019</w:t>
            </w:r>
          </w:p>
        </w:tc>
        <w:tc>
          <w:tcPr>
            <w:tcW w:type="dxa" w:w="1872"/>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14,739</w:t>
            </w:r>
          </w:p>
          <w:p>
            <w:pPr>
              <w:spacing w:after="40"/>
              <w:jc w:val="center"/>
            </w:pPr>
            <w:r>
              <w:rPr>
                <w:b w:val="0"/>
                <w:sz w:val="20"/>
              </w:rPr>
            </w:r>
          </w:p>
          <w:p>
            <w:pPr>
              <w:spacing w:after="40"/>
              <w:jc w:val="center"/>
            </w:pPr>
            <w:r>
              <w:rPr>
                <w:b w:val="0"/>
                <w:sz w:val="20"/>
              </w:rPr>
            </w:r>
          </w:p>
          <w:p>
            <w:pPr>
              <w:spacing w:after="40"/>
              <w:jc w:val="center"/>
            </w:pPr>
            <w:r>
              <w:rPr>
                <w:b w:val="0"/>
                <w:sz w:val="20"/>
              </w:rPr>
            </w: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Feature Envy</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3,337</w:t>
            </w:r>
          </w:p>
        </w:tc>
        <w:tc>
          <w:tcPr>
            <w:tcW w:type="dxa" w:w="1872"/>
            <w:vMerge/>
          </w:tcP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Long Method</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3,362</w:t>
            </w:r>
          </w:p>
        </w:tc>
        <w:tc>
          <w:tcPr>
            <w:tcW w:type="dxa" w:w="1872"/>
            <w:vMerge/>
          </w:tcP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Data Class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4,021</w:t>
            </w:r>
          </w:p>
        </w:tc>
        <w:tc>
          <w:tcPr>
            <w:tcW w:type="dxa" w:w="1872"/>
            <w:vMerge/>
          </w:tcPr>
          <w:p/>
        </w:tc>
      </w:tr>
      <w:tr>
        <w:trPr>
          <w:cantSplit/>
        </w:trPr>
        <w:tc>
          <w:tcPr>
            <w:tcW w:type="dxa" w:w="576"/>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2</w:t>
            </w:r>
          </w:p>
          <w:p>
            <w:pPr>
              <w:spacing w:after="40"/>
              <w:jc w:val="center"/>
            </w:pPr>
            <w:r>
              <w:rPr>
                <w:b w:val="0"/>
                <w:sz w:val="20"/>
              </w:rPr>
            </w:r>
          </w:p>
          <w:p>
            <w:pPr>
              <w:spacing w:after="40"/>
              <w:jc w:val="center"/>
            </w:pPr>
            <w:r>
              <w:rPr>
                <w:b w:val="0"/>
                <w:sz w:val="20"/>
              </w:rPr>
            </w:r>
          </w:p>
          <w:p>
            <w:pPr>
              <w:spacing w:after="40"/>
              <w:jc w:val="center"/>
            </w:pPr>
            <w:r>
              <w:rPr>
                <w:b w:val="0"/>
                <w:sz w:val="20"/>
              </w:rPr>
            </w:r>
          </w:p>
        </w:tc>
        <w:tc>
          <w:tcPr>
            <w:tcW w:type="dxa" w:w="2520"/>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Fontana</w:t>
            </w:r>
          </w:p>
          <w:p>
            <w:pPr>
              <w:spacing w:after="40"/>
            </w:pPr>
            <w:r>
              <w:rPr>
                <w:b w:val="0"/>
                <w:sz w:val="20"/>
              </w:rPr>
            </w:r>
          </w:p>
          <w:p>
            <w:pPr>
              <w:spacing w:after="40"/>
            </w:pPr>
            <w:r>
              <w:rPr>
                <w:b w:val="0"/>
                <w:sz w:val="20"/>
              </w:rPr>
            </w:r>
          </w:p>
          <w:p>
            <w:pPr>
              <w:spacing w:after="40"/>
            </w:pPr>
            <w:r>
              <w:rPr>
                <w:b w:val="0"/>
                <w:sz w:val="20"/>
              </w:rPr>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God Class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420</w:t>
            </w:r>
          </w:p>
        </w:tc>
        <w:tc>
          <w:tcPr>
            <w:tcW w:type="dxa" w:w="1872"/>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1,680</w:t>
            </w:r>
          </w:p>
          <w:p>
            <w:pPr>
              <w:spacing w:after="40"/>
              <w:jc w:val="center"/>
            </w:pPr>
            <w:r>
              <w:rPr>
                <w:b w:val="0"/>
                <w:sz w:val="20"/>
              </w:rPr>
            </w:r>
          </w:p>
          <w:p>
            <w:pPr>
              <w:spacing w:after="40"/>
              <w:jc w:val="center"/>
            </w:pPr>
            <w:r>
              <w:rPr>
                <w:b w:val="0"/>
                <w:sz w:val="20"/>
              </w:rPr>
            </w:r>
          </w:p>
          <w:p>
            <w:pPr>
              <w:spacing w:after="40"/>
              <w:jc w:val="center"/>
            </w:pPr>
            <w:r>
              <w:rPr>
                <w:b w:val="0"/>
                <w:sz w:val="20"/>
              </w:rPr>
            </w: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Feature Envy</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420</w:t>
            </w:r>
          </w:p>
        </w:tc>
        <w:tc>
          <w:tcPr>
            <w:tcW w:type="dxa" w:w="1872"/>
            <w:vMerge/>
          </w:tcP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Long Method</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420</w:t>
            </w:r>
          </w:p>
        </w:tc>
        <w:tc>
          <w:tcPr>
            <w:tcW w:type="dxa" w:w="1872"/>
            <w:vMerge/>
          </w:tcP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Data Class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420</w:t>
            </w:r>
          </w:p>
        </w:tc>
        <w:tc>
          <w:tcPr>
            <w:tcW w:type="dxa" w:w="1872"/>
            <w:vMerge/>
          </w:tcPr>
          <w:p/>
        </w:tc>
      </w:tr>
      <w:tr>
        <w:trPr>
          <w:cantSplit/>
        </w:trPr>
        <w:tc>
          <w:tcPr>
            <w:tcW w:type="dxa" w:w="576"/>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3</w:t>
            </w:r>
          </w:p>
          <w:p>
            <w:pPr>
              <w:spacing w:after="40"/>
              <w:jc w:val="center"/>
            </w:pPr>
            <w:r>
              <w:rPr>
                <w:b w:val="0"/>
                <w:sz w:val="20"/>
              </w:rPr>
            </w:r>
          </w:p>
          <w:p>
            <w:pPr>
              <w:spacing w:after="40"/>
              <w:jc w:val="center"/>
            </w:pPr>
            <w:r>
              <w:rPr>
                <w:b w:val="0"/>
                <w:sz w:val="20"/>
              </w:rPr>
            </w:r>
          </w:p>
        </w:tc>
        <w:tc>
          <w:tcPr>
            <w:tcW w:type="dxa" w:w="2520"/>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Crowdsmelling</w:t>
            </w:r>
          </w:p>
          <w:p>
            <w:pPr>
              <w:spacing w:after="40"/>
            </w:pPr>
            <w:r>
              <w:rPr>
                <w:b w:val="0"/>
                <w:sz w:val="20"/>
              </w:rPr>
            </w:r>
          </w:p>
          <w:p>
            <w:pPr>
              <w:spacing w:after="40"/>
            </w:pPr>
            <w:r>
              <w:rPr>
                <w:b w:val="0"/>
                <w:sz w:val="20"/>
              </w:rPr>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God Class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287</w:t>
            </w:r>
          </w:p>
        </w:tc>
        <w:tc>
          <w:tcPr>
            <w:tcW w:type="dxa" w:w="1872"/>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1,943</w:t>
            </w:r>
          </w:p>
          <w:p>
            <w:pPr>
              <w:spacing w:after="40"/>
              <w:jc w:val="center"/>
            </w:pPr>
            <w:r>
              <w:rPr>
                <w:b w:val="0"/>
                <w:sz w:val="20"/>
              </w:rPr>
            </w:r>
          </w:p>
          <w:p>
            <w:pPr>
              <w:spacing w:after="40"/>
              <w:jc w:val="center"/>
            </w:pPr>
            <w:r>
              <w:rPr>
                <w:b w:val="0"/>
                <w:sz w:val="20"/>
              </w:rPr>
            </w: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Feature Envy</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330</w:t>
            </w:r>
          </w:p>
        </w:tc>
        <w:tc>
          <w:tcPr>
            <w:tcW w:type="dxa" w:w="1872"/>
            <w:vMerge/>
          </w:tcP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Long Method</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1,326</w:t>
            </w:r>
          </w:p>
        </w:tc>
        <w:tc>
          <w:tcPr>
            <w:tcW w:type="dxa" w:w="1872"/>
            <w:vMerge/>
          </w:tcPr>
          <w:p/>
        </w:tc>
      </w:tr>
      <w:tr>
        <w:trPr>
          <w:cantSplit/>
        </w:trPr>
        <w:tc>
          <w:tcPr>
            <w:tcW w:type="dxa" w:w="576"/>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w:t>
            </w:r>
          </w:p>
          <w:p>
            <w:pPr>
              <w:spacing w:after="40"/>
              <w:jc w:val="center"/>
            </w:pPr>
            <w:r>
              <w:rPr>
                <w:b w:val="0"/>
                <w:sz w:val="20"/>
              </w:rPr>
            </w:r>
          </w:p>
          <w:p>
            <w:pPr>
              <w:spacing w:after="40"/>
              <w:jc w:val="center"/>
            </w:pPr>
            <w:r>
              <w:rPr>
                <w:b w:val="0"/>
                <w:sz w:val="20"/>
              </w:rPr>
            </w:r>
          </w:p>
        </w:tc>
        <w:tc>
          <w:tcPr>
            <w:tcW w:type="dxa" w:w="2520"/>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DeepSmellDetection</w:t>
            </w:r>
          </w:p>
          <w:p>
            <w:pPr>
              <w:spacing w:after="40"/>
            </w:pPr>
            <w:r>
              <w:rPr>
                <w:b w:val="0"/>
                <w:sz w:val="20"/>
              </w:rPr>
            </w:r>
          </w:p>
          <w:p>
            <w:pPr>
              <w:spacing w:after="40"/>
            </w:pPr>
            <w:r>
              <w:rPr>
                <w:b w:val="0"/>
                <w:sz w:val="20"/>
              </w:rPr>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Large Class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2,875</w:t>
            </w:r>
          </w:p>
        </w:tc>
        <w:tc>
          <w:tcPr>
            <w:tcW w:type="dxa" w:w="1872"/>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148,252</w:t>
            </w:r>
          </w:p>
          <w:p>
            <w:pPr>
              <w:spacing w:after="40"/>
              <w:jc w:val="center"/>
            </w:pPr>
            <w:r>
              <w:rPr>
                <w:b w:val="0"/>
                <w:sz w:val="20"/>
              </w:rPr>
            </w:r>
          </w:p>
          <w:p>
            <w:pPr>
              <w:spacing w:after="40"/>
              <w:jc w:val="center"/>
            </w:pPr>
            <w:r>
              <w:rPr>
                <w:b w:val="0"/>
                <w:sz w:val="20"/>
              </w:rPr>
            </w: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Long Method</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70,221</w:t>
            </w:r>
          </w:p>
        </w:tc>
        <w:tc>
          <w:tcPr>
            <w:tcW w:type="dxa" w:w="1872"/>
            <w:vMerge/>
          </w:tcP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Feature Envy</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75,156</w:t>
            </w:r>
          </w:p>
        </w:tc>
        <w:tc>
          <w:tcPr>
            <w:tcW w:type="dxa" w:w="1872"/>
            <w:vMerge/>
          </w:tcPr>
          <w:p/>
        </w:tc>
      </w:tr>
      <w:tr>
        <w:trPr>
          <w:cantSplit/>
        </w:trPr>
        <w:tc>
          <w:tcPr>
            <w:tcW w:type="dxa" w:w="576"/>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5</w:t>
            </w:r>
          </w:p>
          <w:p>
            <w:pPr>
              <w:spacing w:after="40"/>
              <w:jc w:val="center"/>
            </w:pPr>
            <w:r>
              <w:rPr>
                <w:b w:val="0"/>
                <w:sz w:val="20"/>
              </w:rPr>
            </w:r>
          </w:p>
        </w:tc>
        <w:tc>
          <w:tcPr>
            <w:tcW w:type="dxa" w:w="2520"/>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Škipina prepared MLCQ subset</w:t>
            </w:r>
          </w:p>
          <w:p>
            <w:pPr>
              <w:spacing w:after="40"/>
            </w:pPr>
            <w:r>
              <w:rPr>
                <w:b w:val="0"/>
                <w:sz w:val="20"/>
              </w:rPr>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Feature Envy</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2,242</w:t>
            </w:r>
          </w:p>
        </w:tc>
        <w:tc>
          <w:tcPr>
            <w:tcW w:type="dxa" w:w="1872"/>
            <w:vMerge w:val="restar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4,401</w:t>
            </w:r>
          </w:p>
          <w:p>
            <w:pPr>
              <w:spacing w:after="40"/>
              <w:jc w:val="center"/>
            </w:pPr>
            <w:r>
              <w:rPr>
                <w:b w:val="0"/>
                <w:sz w:val="20"/>
              </w:rPr>
            </w:r>
          </w:p>
        </w:tc>
      </w:tr>
      <w:tr>
        <w:trPr>
          <w:cantSplit/>
        </w:trPr>
        <w:tc>
          <w:tcPr>
            <w:tcW w:type="dxa" w:w="576"/>
            <w:vMerge/>
          </w:tcPr>
          <w:p/>
        </w:tc>
        <w:tc>
          <w:tcPr>
            <w:tcW w:type="dxa" w:w="2520"/>
            <w:vMerge/>
          </w:tcP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Data Class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2,159</w:t>
            </w:r>
          </w:p>
        </w:tc>
        <w:tc>
          <w:tcPr>
            <w:tcW w:type="dxa" w:w="1872"/>
            <w:vMerge/>
          </w:tcP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6</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ImprovMLCQ</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Combined dataset records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13,489</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7</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SmellyCode++</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b w:val="0"/>
                <w:sz w:val="20"/>
              </w:rPr>
              <w:t>All samples, including non-smelly samples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107,554</w:t>
            </w:r>
          </w:p>
        </w:tc>
      </w:tr>
      <w:tr>
        <w:trPr>
          <w:cantSplit/>
        </w:trPr>
        <w:tc>
          <w:tcPr>
            <w:tcW w:type="dxa" w:w="2520"/>
            <w:gridSpan w:val="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sz w:val="20"/>
              </w:rPr>
              <w:t>Grand total</w:t>
            </w:r>
          </w:p>
        </w:tc>
        <w:tc>
          <w:tcPr>
            <w:tcW w:type="dxa" w:w="1584"/>
            <w:gridSpan w:val="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sz w:val="20"/>
              </w:rPr>
              <w:t>Selected source counts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sz w:val="20"/>
              </w:rPr>
              <w:t>292,058</w:t>
            </w:r>
          </w:p>
        </w:tc>
      </w:tr>
    </w:tbl>
    <w:p>
      <w:pPr>
        <w:pStyle w:val="Heading1"/>
      </w:pPr>
      <w:r>
        <w:t>3. Dataset-specific methodology and limitations</w:t>
      </w:r>
    </w:p>
    <w:p>
      <w:pPr>
        <w:pStyle w:val="Heading2"/>
      </w:pPr>
      <w:r>
        <w:t>1. MLCQ</w:t>
      </w:r>
    </w:p>
    <w:p>
      <w:pPr>
        <w:keepNext/>
      </w:pPr>
      <w:r>
        <w:rPr>
          <w:b/>
        </w:rPr>
        <w:t>14,739 annotation records</w:t>
      </w:r>
    </w:p>
    <w:p>
      <w:pPr>
        <w:keepNext/>
      </w:pPr>
      <w:r>
        <w:t>Counted from MLCQCodeSmellSamples.csv. The file contains 4,770 distinct sample_id values, so the annotation count does not represent the number of unique code snippets.</w:t>
      </w:r>
    </w:p>
    <w:p>
      <w:r>
        <w:t xml:space="preserve">Source: </w:t>
      </w:r>
      <w:hyperlink r:id="rId9">
        <w:r>
          <w:rPr>
            <w:color w:val="0563C1"/>
            <w:u w:val="single"/>
          </w:rPr>
          <w:t>MLCQ — Zenodo</w:t>
        </w:r>
      </w:hyperlink>
    </w:p>
    <w:p>
      <w:pPr>
        <w:pStyle w:val="Heading2"/>
      </w:pPr>
      <w:r>
        <w:t>2. Fontana</w:t>
      </w:r>
    </w:p>
    <w:p>
      <w:pPr>
        <w:keepNext/>
      </w:pPr>
      <w:r>
        <w:rPr>
          <w:b/>
        </w:rPr>
        <w:t>1,680 records</w:t>
      </w:r>
    </w:p>
    <w:p>
      <w:pPr>
        <w:keepNext/>
      </w:pPr>
      <w:r>
        <w:t>Includes four categories with 420 records each: God Class, Feature Envy, Long Method, and Data Class. Long Parameter List and Switch Statements are excluded from this total.</w:t>
      </w:r>
    </w:p>
    <w:p>
      <w:r>
        <w:t xml:space="preserve">Source: </w:t>
      </w:r>
      <w:hyperlink r:id="rId10">
        <w:r>
          <w:rPr>
            <w:color w:val="0563C1"/>
            <w:u w:val="single"/>
          </w:rPr>
          <w:t>Fontana dataset — Google Drive</w:t>
        </w:r>
      </w:hyperlink>
    </w:p>
    <w:p>
      <w:pPr>
        <w:pStyle w:val="Heading2"/>
      </w:pPr>
      <w:r>
        <w:t>3. Crowdsmelling</w:t>
      </w:r>
    </w:p>
    <w:p>
      <w:pPr>
        <w:keepNext/>
      </w:pPr>
      <w:r>
        <w:rPr>
          <w:b/>
        </w:rPr>
        <w:t>1,943 annotation records</w:t>
      </w:r>
    </w:p>
    <w:p>
      <w:pPr>
        <w:keepNext/>
      </w:pPr>
      <w:r>
        <w:t>Counted only the combined CSV files for 2018, 2019, and 2020. Separate yearly files were not counted again. Multiple annotations may refer to the same code artifact.</w:t>
      </w:r>
    </w:p>
    <w:p>
      <w:r>
        <w:t xml:space="preserve">Source: </w:t>
      </w:r>
      <w:hyperlink r:id="rId12">
        <w:r>
          <w:rPr>
            <w:color w:val="0563C1"/>
            <w:u w:val="single"/>
          </w:rPr>
          <w:t>Crowdsmelling — Zenodo</w:t>
        </w:r>
      </w:hyperlink>
    </w:p>
    <w:p>
      <w:pPr>
        <w:pStyle w:val="Heading2"/>
      </w:pPr>
      <w:r>
        <w:t>4. DeepSmellDetection</w:t>
      </w:r>
    </w:p>
    <w:p>
      <w:pPr>
        <w:keepNext/>
      </w:pPr>
      <w:r>
        <w:rPr>
          <w:b/>
        </w:rPr>
        <w:t>148,252 selected training records</w:t>
      </w:r>
    </w:p>
    <w:p>
      <w:pPr>
        <w:keepNext/>
      </w:pPr>
      <w:r>
        <w:t>Includes Large Class (2,875), Long Method (70,221), and Feature Envy (75,156). The Feature Envy count uses one training partition only; overlapping project partitions were not added. Misplaced Class is excluded. This is a selected-file subtotal, not a deduplicated corpus.</w:t>
      </w:r>
    </w:p>
    <w:p>
      <w:r>
        <w:t xml:space="preserve">Source: </w:t>
      </w:r>
      <w:hyperlink r:id="rId13">
        <w:r>
          <w:rPr>
            <w:color w:val="0563C1"/>
            <w:u w:val="single"/>
          </w:rPr>
          <w:t>DeepSmellDetection — GitHub</w:t>
        </w:r>
      </w:hyperlink>
    </w:p>
    <w:p>
      <w:pPr>
        <w:pStyle w:val="Heading2"/>
      </w:pPr>
      <w:r>
        <w:t>5. Škipina prepared MLCQ subset</w:t>
      </w:r>
    </w:p>
    <w:p>
      <w:pPr>
        <w:keepNext/>
      </w:pPr>
      <w:r>
        <w:rPr>
          <w:b/>
        </w:rPr>
        <w:t>4,401 records</w:t>
      </w:r>
    </w:p>
    <w:p>
      <w:pPr>
        <w:keepNext/>
      </w:pPr>
      <w:r>
        <w:t>Includes 2,242 Feature Envy and 2,159 Data Class records. CSV-aware parsing was used because code cells contain line breaks. Metrics, embeddings, and 51 repeated train/test splits were excluded. These records reuse MLCQ data.</w:t>
      </w:r>
    </w:p>
    <w:p>
      <w:r>
        <w:t xml:space="preserve">Source: </w:t>
      </w:r>
      <w:hyperlink r:id="rId14">
        <w:r>
          <w:rPr>
            <w:color w:val="0563C1"/>
            <w:u w:val="single"/>
          </w:rPr>
          <w:t>ML code smell detection — GitHub</w:t>
        </w:r>
      </w:hyperlink>
    </w:p>
    <w:p>
      <w:pPr>
        <w:pStyle w:val="Heading2"/>
      </w:pPr>
      <w:r>
        <w:t>6. ImprovMLCQ</w:t>
      </w:r>
    </w:p>
    <w:p>
      <w:pPr>
        <w:keepNext/>
      </w:pPr>
      <w:r>
        <w:rPr>
          <w:b/>
        </w:rPr>
        <w:t>13,489 records</w:t>
      </w:r>
    </w:p>
    <w:p>
      <w:pPr>
        <w:keepNext/>
      </w:pPr>
      <w:r>
        <w:t>Counted directly from out_clean.csv in Zenodo version 3. The larger out.csv and alternative representations were not counted separately. This resource extends MLCQ, so overlap is expected.</w:t>
      </w:r>
    </w:p>
    <w:p>
      <w:r>
        <w:t xml:space="preserve">Source: </w:t>
      </w:r>
      <w:hyperlink r:id="rId15">
        <w:r>
          <w:rPr>
            <w:color w:val="0563C1"/>
            <w:u w:val="single"/>
          </w:rPr>
          <w:t>ImprovMLCQ — Zenodo</w:t>
        </w:r>
      </w:hyperlink>
    </w:p>
    <w:p>
      <w:pPr>
        <w:pStyle w:val="Heading2"/>
      </w:pPr>
      <w:r>
        <w:t>7. SmellyCode++</w:t>
      </w:r>
    </w:p>
    <w:p>
      <w:pPr>
        <w:keepNext/>
      </w:pPr>
      <w:r>
        <w:rPr>
          <w:b/>
        </w:rPr>
        <w:t>107,554 reported samples</w:t>
      </w:r>
    </w:p>
    <w:p>
      <w:pPr>
        <w:keepNext/>
      </w:pPr>
      <w:r>
        <w:t>Taken from the Data Records section of the 2025 research paper rather than a direct recount of the downloaded files. The reported total includes both smelly and non-smelly samples and must not be interpreted as the number of positive code smell labels.</w:t>
      </w:r>
    </w:p>
    <w:p>
      <w:r>
        <w:t xml:space="preserve">Source: </w:t>
      </w:r>
      <w:hyperlink r:id="rId19">
        <w:r>
          <w:rPr>
            <w:color w:val="0563C1"/>
            <w:u w:val="single"/>
          </w:rPr>
          <w:t>SmellyCode++ — Scientific Data (2025)</w:t>
        </w:r>
      </w:hyperlink>
    </w:p>
    <w:p>
      <w:pPr>
        <w:pStyle w:val="Heading1"/>
      </w:pPr>
      <w:r>
        <w:t>4. Total record calculation</w:t>
      </w:r>
    </w:p>
    <w:tbl>
      <w:tblPr>
        <w:tblW w:type="auto" w:w="0"/>
        <w:tblLayout w:type="fixed"/>
        <w:tblLook w:firstColumn="1" w:firstRow="1" w:lastColumn="0" w:lastRow="0" w:noHBand="0" w:noVBand="1" w:val="04A0"/>
      </w:tblPr>
      <w:tblGrid>
        <w:gridCol w:w="8064"/>
        <w:gridCol w:w="2592"/>
      </w:tblGrid>
      <w:tr>
        <w:trPr>
          <w:tblHeade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jc w:val="center"/>
            </w:pPr>
            <w:r>
              <w:rPr>
                <w:b/>
                <w:sz w:val="20"/>
              </w:rPr>
              <w:t>Dataset</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jc w:val="center"/>
            </w:pPr>
            <w:r>
              <w:rPr>
                <w:b/>
                <w:sz w:val="20"/>
              </w:rPr>
              <w:t>Record count</w:t>
            </w:r>
          </w:p>
        </w:tc>
      </w:tr>
      <w:tr>
        <w:trP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MLCQ</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14,739</w:t>
            </w:r>
          </w:p>
        </w:tc>
      </w:tr>
      <w:tr>
        <w:trP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Fontana</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1,680</w:t>
            </w:r>
          </w:p>
        </w:tc>
      </w:tr>
      <w:tr>
        <w:trP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Crowdsmelling</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1,943</w:t>
            </w:r>
          </w:p>
        </w:tc>
      </w:tr>
      <w:tr>
        <w:trP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DeepSmellDetection</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148,252</w:t>
            </w:r>
          </w:p>
        </w:tc>
      </w:tr>
      <w:tr>
        <w:trP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Škipina prepared MLCQ subset</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4,401</w:t>
            </w:r>
          </w:p>
        </w:tc>
      </w:tr>
      <w:tr>
        <w:trP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ImprovMLCQ</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13,489</w:t>
            </w:r>
          </w:p>
        </w:tc>
      </w:tr>
      <w:tr>
        <w:trP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SmellyCode++</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val="0"/>
                <w:sz w:val="20"/>
              </w:rPr>
              <w:t>107,554</w:t>
            </w:r>
          </w:p>
        </w:tc>
      </w:tr>
      <w:tr>
        <w:trPr>
          <w:cantSplit/>
        </w:trPr>
        <w:tc>
          <w:tcPr>
            <w:tcW w:type="dxa" w:w="80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sz w:val="20"/>
              </w:rPr>
              <w:t>Total</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jc w:val="center"/>
            </w:pPr>
            <w:r>
              <w:rPr>
                <w:b/>
                <w:sz w:val="20"/>
              </w:rPr>
              <w:t>292,058</w:t>
            </w:r>
          </w:p>
        </w:tc>
      </w:tr>
    </w:tbl>
    <w:p>
      <w:r>
        <w:t>Of the 292,058 records:</w:t>
      </w:r>
    </w:p>
    <w:p>
      <w:pPr>
        <w:pStyle w:val="ListBullet"/>
      </w:pPr>
      <w:r>
        <w:t>184,504 records were counted from downloaded files.</w:t>
      </w:r>
    </w:p>
    <w:p>
      <w:pPr>
        <w:pStyle w:val="ListBullet"/>
      </w:pPr>
      <w:r>
        <w:t>107,554 records were taken from the published SmellyCode++ paper.</w:t>
      </w:r>
    </w:p>
    <w:p>
      <w:pPr>
        <w:pStyle w:val="Heading1"/>
      </w:pPr>
      <w:r>
        <w:t>5. Important interpretation and limitations</w:t>
      </w:r>
    </w:p>
    <w:p>
      <w:r>
        <w:t>The grand total of 292,058 records is a gross sum of selected source counts, not a verified count of unique training examples.</w:t>
      </w:r>
    </w:p>
    <w:p>
      <w:r>
        <w:t>Several factors prevent treating this figure as a deduplicated dataset size:</w:t>
      </w:r>
    </w:p>
    <w:p>
      <w:r>
        <w:rPr>
          <w:b/>
        </w:rPr>
        <w:t xml:space="preserve">1. Dataset overlap: </w:t>
      </w:r>
      <w:r>
        <w:t>MLCQ, the Škipina subset, and ImprovMLCQ share underlying data. SmellyCode++ also incorporates earlier resources.</w:t>
      </w:r>
    </w:p>
    <w:p>
      <w:r>
        <w:rPr>
          <w:b/>
        </w:rPr>
        <w:t xml:space="preserve">2. Different record definitions: </w:t>
      </w:r>
      <w:r>
        <w:t>Some sources count annotations, others count code samples or training records.</w:t>
      </w:r>
    </w:p>
    <w:p>
      <w:r>
        <w:rPr>
          <w:b/>
        </w:rPr>
        <w:t xml:space="preserve">3. Repeated representations: </w:t>
      </w:r>
      <w:r>
        <w:t>Feature representations, yearly subsets, and train/test splits can repeat examples.</w:t>
      </w:r>
    </w:p>
    <w:p>
      <w:r>
        <w:rPr>
          <w:b/>
        </w:rPr>
        <w:t xml:space="preserve">4. Different label coverage: </w:t>
      </w:r>
      <w:r>
        <w:t>SmellyCode++ includes non-smelly examples, whereas some other counts are specific to particular code smell categories.</w:t>
      </w:r>
    </w:p>
    <w:p>
      <w:r>
        <w:rPr>
          <w:b/>
        </w:rPr>
        <w:t xml:space="preserve">5. Selected-file scope: </w:t>
      </w:r>
      <w:r>
        <w:t>DeepSmellDetection’s count covers only the specified training files and partitions, not its entire replication package.</w:t>
      </w:r>
    </w:p>
    <w:p>
      <w:r>
        <w:rPr>
          <w:b/>
        </w:rPr>
        <w:t xml:space="preserve">Conclusion: </w:t>
      </w:r>
      <w:r>
        <w:t>The seven sources contribute a combined gross count of 292,058 records under the stated counting rules. The actual number of unique examples available after merging, normalizing, and deduplicating the datasets has not yet been established. These figures describe the available research resources and should not be presented as the final cleaned dataset size for CodePulse.</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zenodo.org/records/3666840" TargetMode="External"/><Relationship Id="rId10" Type="http://schemas.openxmlformats.org/officeDocument/2006/relationships/hyperlink" Target="https://drive.google.com/file/d/15aXc_el-nx4tQwU3khunQ-I5ObSA1-Zb/view" TargetMode="External"/><Relationship Id="rId11" Type="http://schemas.openxmlformats.org/officeDocument/2006/relationships/hyperlink" Target="https://essere.disco.unimib.it/machine-learning-for-code-smell-detection/" TargetMode="External"/><Relationship Id="rId12" Type="http://schemas.openxmlformats.org/officeDocument/2006/relationships/hyperlink" Target="https://zenodo.org/records/6555241" TargetMode="External"/><Relationship Id="rId13" Type="http://schemas.openxmlformats.org/officeDocument/2006/relationships/hyperlink" Target="https://github.com/liuhuigmail/DeepSmellDetection" TargetMode="External"/><Relationship Id="rId14" Type="http://schemas.openxmlformats.org/officeDocument/2006/relationships/hyperlink" Target="https://github.com/milica-skipina/ML-code-smell-detection" TargetMode="External"/><Relationship Id="rId15" Type="http://schemas.openxmlformats.org/officeDocument/2006/relationships/hyperlink" Target="https://zenodo.org/records/14834187" TargetMode="External"/><Relationship Id="rId16" Type="http://schemas.openxmlformats.org/officeDocument/2006/relationships/hyperlink" Target="https://github.com/aisepucrio/ImprovMLCQ" TargetMode="External"/><Relationship Id="rId17" Type="http://schemas.openxmlformats.org/officeDocument/2006/relationships/hyperlink" Target="https://doi.org/10.6084/m9.figshare.28519385.v1" TargetMode="External"/><Relationship Id="rId18" Type="http://schemas.openxmlformats.org/officeDocument/2006/relationships/hyperlink" Target="https://github.com/nawafalomari/code_smell_detection_dataset" TargetMode="External"/><Relationship Id="rId19" Type="http://schemas.openxmlformats.org/officeDocument/2006/relationships/hyperlink" Target="https://www.nature.com/articles/s41597-025-05465-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