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2"/>
        </w:rPr>
        <w:t>Decision Brief</w:t>
      </w:r>
    </w:p>
    <w:p>
      <w:r>
        <w:rPr>
          <w:b/>
          <w:sz w:val="24"/>
        </w:rPr>
        <w:t>Executive Recommendation</w:t>
      </w:r>
    </w:p>
    <w:p>
      <w:r>
        <w:rPr>
          <w:sz w:val="21"/>
        </w:rPr>
        <w:t>Build the first version as a controlled decision workflow: weekly SKU-warehouse forecasts and reorder recommendations, plus daily exception monitoring. The system should recommend purchase intent, not create purchase orders. Human approval remains mandatory before any PO is created.</w:t>
      </w:r>
    </w:p>
    <w:p>
      <w:r>
        <w:rPr>
          <w:sz w:val="21"/>
        </w:rPr>
        <w:t>As of 2026-06-30, unconstrained demand is forecast at approximately 2,958 units over 30 days, 5,913 over 60 days, and 8,866 over 90 days. Warehouse A carries the largest demand share, followed by Warehouse B and Warehouse C.</w:t>
      </w:r>
    </w:p>
    <w:p>
      <w:r>
        <w:rPr>
          <w:sz w:val="21"/>
        </w:rPr>
        <w:t>The validation scorecard supports using the challenger forecast for planning because it lowers WMAPE and dollar-weighted error versus the baseline. Because service-risk recall is mixed at some horizons, keep the baseline moving-average model as a control and shortage-risk guardrail during the first operating cycles.</w:t>
      </w:r>
    </w:p>
    <w:p>
      <w:r>
        <w:rPr>
          <w:b/>
          <w:sz w:val="24"/>
        </w:rPr>
        <w:t>Prioritized Actions</w:t>
      </w:r>
    </w:p>
    <w:p>
      <w:r>
        <w:rPr>
          <w:sz w:val="21"/>
        </w:rPr>
        <w:t>1. Place six reorder lines into the approval queue for a total potential commitment of $37,364.76. Four lines are immediate shortage-driven priorities totaling $22,117.92; two additional lines are budget/container-fill recommendations totaling $15,246.84. All lines remain pending planner approval before PO creation.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sz w:val="21"/>
              </w:rPr>
              <w:t>Priority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Supplier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SKU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Qty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Cost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Reason</w:t>
            </w:r>
          </w:p>
        </w:tc>
      </w:tr>
      <w:tr>
        <w:tc>
          <w:tcPr>
            <w:tcW w:w="2200" w:type="dxa"/>
          </w:tcPr>
          <w:p>
            <w:r>
              <w:rPr>
                <w:sz w:val="21"/>
              </w:rPr>
              <w:t>1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SUP-023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BRA-0021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 C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96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$13,349.76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Urgent 90-day shortage after inventory/open POs</w:t>
            </w:r>
          </w:p>
        </w:tc>
      </w:tr>
      <w:tr>
        <w:tc>
          <w:tcPr>
            <w:tcW w:w="2200" w:type="dxa"/>
          </w:tcPr>
          <w:p>
            <w:r>
              <w:rPr>
                <w:sz w:val="21"/>
              </w:rPr>
              <w:t>2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SUP-015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BRA-0002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 A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24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$488.16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Urgent 30/60/90-day shortage risk</w:t>
            </w:r>
          </w:p>
        </w:tc>
      </w:tr>
      <w:tr>
        <w:tc>
          <w:tcPr>
            <w:tcW w:w="2200" w:type="dxa"/>
          </w:tcPr>
          <w:p>
            <w:r>
              <w:rPr>
                <w:sz w:val="21"/>
              </w:rPr>
              <w:t>3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SUP-023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BRA-0071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 B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108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$3,538.08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Urgent lead-time coverage risk</w:t>
            </w:r>
          </w:p>
        </w:tc>
      </w:tr>
      <w:tr>
        <w:tc>
          <w:tcPr>
            <w:tcW w:w="2200" w:type="dxa"/>
          </w:tcPr>
          <w:p>
            <w:r>
              <w:rPr>
                <w:sz w:val="21"/>
              </w:rPr>
              <w:t>4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SUP-015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BRA-0027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 B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144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$4,741.92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Urgent lead-time coverage risk</w:t>
            </w:r>
          </w:p>
        </w:tc>
      </w:tr>
      <w:tr>
        <w:tc>
          <w:tcPr>
            <w:tcW w:w="2200" w:type="dxa"/>
          </w:tcPr>
          <w:p>
            <w:r>
              <w:rPr>
                <w:sz w:val="21"/>
              </w:rPr>
              <w:t>5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SUP-015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BRA-0052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 A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132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$12,868.68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Budget/container-fill buy within cover policy</w:t>
            </w:r>
          </w:p>
        </w:tc>
      </w:tr>
      <w:tr>
        <w:tc>
          <w:tcPr>
            <w:tcW w:w="2200" w:type="dxa"/>
          </w:tcPr>
          <w:p>
            <w:r>
              <w:rPr>
                <w:sz w:val="21"/>
              </w:rPr>
              <w:t>6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SUP-015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BRA-0077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Warehouse A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72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$2,378.16</w:t>
            </w:r>
          </w:p>
        </w:tc>
        <w:tc>
          <w:tcPr>
            <w:tcW w:w="2200" w:type="dxa"/>
          </w:tcPr>
          <w:p>
            <w:r>
              <w:rPr>
                <w:sz w:val="21"/>
              </w:rPr>
              <w:t>Budget/container-fill buy within cover policy</w:t>
            </w:r>
          </w:p>
        </w:tc>
      </w:tr>
    </w:tbl>
    <w:p>
      <w:r>
        <w:rPr>
          <w:sz w:val="21"/>
        </w:rPr>
        <w:t>The recommendation uses both container slots under the documented case assumption that each selected supplier grouping consumes one inbound container slot. The remaining $462,635.24 budget is not forced into purchases because budget is a ceiling, not a spend target; additional buys would require stronger demand, overstock, volume, and consolidation evidence.</w:t>
      </w:r>
    </w:p>
    <w:p>
      <w:r>
        <w:rPr>
          <w:sz w:val="21"/>
        </w:rPr>
        <w:t>2. Start daily exceptions for projected stockout, stale or negative inventory, delayed inbound, discontinued stock, MOQ conflict, budget/container breach, missing promo lift, and any source conflict that changes the buy/no-buy decision.</w:t>
      </w:r>
    </w:p>
    <w:p>
      <w:r>
        <w:rPr>
          <w:sz w:val="21"/>
        </w:rPr>
        <w:t>3. Before the major promotion in four weeks, obtain confirmed promoted SKUs/groups and lift assumptions. The current dataset does not include a future promotion calendar, so promo demand has not been automatically added to reorder quantities.</w:t>
      </w:r>
    </w:p>
    <w:p>
      <w:r>
        <w:rPr>
          <w:b/>
          <w:sz w:val="24"/>
        </w:rPr>
        <w:t>Key Data Audit Findings</w:t>
      </w:r>
    </w:p>
    <w:p>
      <w:r>
        <w:rPr>
          <w:sz w:val="21"/>
        </w:rPr>
        <w:t>The audit quantified decision-relevant defects: 92,388 missing SKU-warehouse-day sales panel combinations, 32 stockout-censored sales rows, 2,593 return rows, 11 negative inventory rows, 5 duplicate inventory rows after warehouse normalization, 1 legacy warehouse naming issue, 377 delayed received POs, 126 open/partially received POs, 14 missing promotion lift estimates, and mixed product lifecycle statuses: 78 active, 5 discontinued, and 117 planned SKUs.</w:t>
      </w:r>
    </w:p>
    <w:p>
      <w:r>
        <w:rPr>
          <w:b/>
          <w:sz w:val="24"/>
        </w:rPr>
        <w:t>Risks</w:t>
      </w:r>
    </w:p>
    <w:p>
      <w:r>
        <w:rPr>
          <w:sz w:val="21"/>
        </w:rPr>
        <w:t>- Stockout-censored sales can understate true demand if not imputed.</w:t>
      </w:r>
    </w:p>
    <w:p>
      <w:r>
        <w:rPr>
          <w:sz w:val="21"/>
        </w:rPr>
        <w:t>- Lead times are uncertain; actual received POs were delayed in 60.5% of received records.</w:t>
      </w:r>
    </w:p>
    <w:p>
      <w:r>
        <w:rPr>
          <w:sz w:val="21"/>
        </w:rPr>
        <w:t>- MOQ and true container volume are not explicitly supplied. MOQ is proxied from historical PO minimums; container capacity is modeled as two supplier groupings until CBM, weight, and case-pack data is available.</w:t>
      </w:r>
    </w:p>
    <w:p>
      <w:r>
        <w:rPr>
          <w:sz w:val="21"/>
        </w:rPr>
        <w:t>- Planned SKUs have no demand history and require manual launch assumptions.</w:t>
      </w:r>
    </w:p>
    <w:p>
      <w:r>
        <w:rPr>
          <w:b/>
          <w:sz w:val="24"/>
        </w:rPr>
        <w:t>Assumptions</w:t>
      </w:r>
    </w:p>
    <w:p>
      <w:r>
        <w:rPr>
          <w:sz w:val="21"/>
        </w:rPr>
        <w:t>- Demand is modeled as gross units, not net sales.</w:t>
      </w:r>
    </w:p>
    <w:p>
      <w:r>
        <w:rPr>
          <w:sz w:val="21"/>
        </w:rPr>
        <w:t>- Returns are tracked separately and are not subtracted from demand unless confirmed as pre-fulfillment cancellations.</w:t>
      </w:r>
    </w:p>
    <w:p>
      <w:r>
        <w:rPr>
          <w:sz w:val="21"/>
        </w:rPr>
        <w:t>- Historical promotion days are de-lifted using SKU lift, category fallback, or global median lift.</w:t>
      </w:r>
    </w:p>
    <w:p>
      <w:r>
        <w:rPr>
          <w:sz w:val="21"/>
        </w:rPr>
        <w:t>- Discontinued SKUs do not generate reorder recommendations.</w:t>
      </w:r>
    </w:p>
    <w:p>
      <w:r>
        <w:rPr>
          <w:sz w:val="21"/>
        </w:rPr>
        <w:t>- Open PO supply is included only when due within the 90-day planning horizon.</w:t>
      </w:r>
    </w:p>
    <w:p>
      <w:r>
        <w:rPr>
          <w:sz w:val="21"/>
        </w:rPr>
        <w:t>- Recommended POs require human approval before execution.</w:t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12E3F"/>
    <w:rsid w:val="00312E3F"/>
    <w:rsid w:val="006F54AE"/>
    <w:rsid w:val="0080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3FC9"/>
  <w15:docId w15:val="{EFF8B88E-97A4-433A-A232-6CE0F3A4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CCF"/>
    <w:pPr>
      <w:ind w:left="720"/>
      <w:contextualSpacing/>
    </w:pPr>
  </w:style>
  <w:style w:type="table" w:styleId="TableGrid">
    <w:name w:val="Table Grid"/>
    <w:basedOn w:val="TableNormal"/>
    <w:uiPriority w:val="39"/>
    <w:rsid w:val="0080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abc</cp:lastModifiedBy>
  <cp:revision>3</cp:revision>
  <dcterms:created xsi:type="dcterms:W3CDTF">2026-09-09T00:46:00Z</dcterms:created>
  <dcterms:modified xsi:type="dcterms:W3CDTF">2026-09-09T00:48:00Z</dcterms:modified>
</cp:coreProperties>
</file>