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i w:val="0"/>
          <w:color w:val="1B2A4A"/>
          <w:sz w:val="72"/>
        </w:rPr>
        <w:t>SEEMA</w:t>
      </w:r>
    </w:p>
    <w:p>
      <w:pPr>
        <w:jc w:val="center"/>
      </w:pPr>
      <w:r>
        <w:rPr>
          <w:rFonts w:ascii="Arial" w:hAnsi="Arial"/>
          <w:b w:val="0"/>
          <w:i w:val="0"/>
          <w:color w:val="0891B2"/>
          <w:sz w:val="44"/>
        </w:rPr>
        <w:t>Objection Handler</w:t>
      </w:r>
    </w:p>
    <w:p>
      <w:pPr>
        <w:jc w:val="center"/>
      </w:pPr>
      <w:r>
        <w:rPr>
          <w:rFonts w:ascii="Arial" w:hAnsi="Arial"/>
          <w:b w:val="0"/>
          <w:i w:val="0"/>
          <w:color w:val="64748B"/>
          <w:sz w:val="24"/>
        </w:rPr>
        <w:t>Sales Playbook for SRA Compliance Platform</w:t>
      </w:r>
    </w:p>
    <w:p/>
    <w:p>
      <w:pPr>
        <w:jc w:val="center"/>
      </w:pPr>
      <w:r>
        <w:rPr>
          <w:rFonts w:ascii="Arial" w:hAnsi="Arial"/>
          <w:b w:val="0"/>
          <w:i w:val="0"/>
          <w:color w:val="1E293B"/>
          <w:sz w:val="22"/>
        </w:rPr>
        <w:t>5 Core Workflows  |  18 Objections  |  Battle-Tested Responses</w:t>
      </w:r>
    </w:p>
    <w:p>
      <w:pPr>
        <w:jc w:val="center"/>
      </w:pPr>
      <w:r>
        <w:rPr>
          <w:rFonts w:ascii="Arial" w:hAnsi="Arial"/>
          <w:b w:val="0"/>
          <w:i w:val="0"/>
          <w:color w:val="64748B"/>
          <w:sz w:val="20"/>
        </w:rPr>
        <w:t>May 2026  |  Version 2.0</w:t>
      </w:r>
    </w:p>
    <w:p>
      <w:r>
        <w:br w:type="page"/>
      </w:r>
    </w:p>
    <w:p>
      <w:pPr>
        <w:pStyle w:val="Heading1"/>
      </w:pPr>
      <w:r>
        <w:rPr>
          <w:color w:val="1B2A4A"/>
        </w:rPr>
        <w:t>How to Use This Document</w:t>
      </w:r>
    </w:p>
    <w:p>
      <w:r>
        <w:rPr>
          <w:rFonts w:ascii="Arial" w:hAnsi="Arial"/>
          <w:b w:val="0"/>
          <w:i w:val="0"/>
          <w:color w:val="1E293B"/>
          <w:sz w:val="22"/>
        </w:rPr>
        <w:t>This objection handler is structured around Seema's 5 core compliance workflows. Each section covers objections specific to that workflow, plus general objections about cost, trust, and competition.</w:t>
      </w:r>
    </w:p>
    <w:p/>
    <w:p>
      <w:r>
        <w:rPr>
          <w:rFonts w:ascii="Arial" w:hAnsi="Arial"/>
          <w:b/>
          <w:i w:val="0"/>
          <w:color w:val="1B2A4A"/>
          <w:sz w:val="22"/>
        </w:rPr>
        <w:t>The 5 Core Workflows:</w:t>
      </w:r>
    </w:p>
    <w:p>
      <w:r>
        <w:rPr>
          <w:rFonts w:ascii="Arial" w:hAnsi="Arial"/>
          <w:b w:val="0"/>
          <w:i w:val="0"/>
          <w:color w:val="1E293B"/>
          <w:sz w:val="22"/>
        </w:rPr>
        <w:t>1. Dashboard — your compliance command centre and health score</w:t>
      </w:r>
    </w:p>
    <w:p>
      <w:r>
        <w:rPr>
          <w:rFonts w:ascii="Arial" w:hAnsi="Arial"/>
          <w:b w:val="0"/>
          <w:i w:val="0"/>
          <w:color w:val="1E293B"/>
          <w:sz w:val="22"/>
        </w:rPr>
        <w:t>2. Regulatory Intelligence — AI monitoring of SRA, ICO, HMRC, Law Society, GOV.UK</w:t>
      </w:r>
    </w:p>
    <w:p>
      <w:r>
        <w:rPr>
          <w:rFonts w:ascii="Arial" w:hAnsi="Arial"/>
          <w:b w:val="0"/>
          <w:i w:val="0"/>
          <w:color w:val="1E293B"/>
          <w:sz w:val="22"/>
        </w:rPr>
        <w:t>3. Breach Reporting — 72-hour ICO deadlines, AI analysis, automatic COLP alerts</w:t>
      </w:r>
    </w:p>
    <w:p>
      <w:r>
        <w:rPr>
          <w:rFonts w:ascii="Arial" w:hAnsi="Arial"/>
          <w:b w:val="0"/>
          <w:i w:val="0"/>
          <w:color w:val="1E293B"/>
          <w:sz w:val="22"/>
        </w:rPr>
        <w:t>4. SRA Audit Workflow — annual return preparation, inspection-ready audit trails</w:t>
      </w:r>
    </w:p>
    <w:p>
      <w:r>
        <w:rPr>
          <w:rFonts w:ascii="Arial" w:hAnsi="Arial"/>
          <w:b w:val="0"/>
          <w:i w:val="0"/>
          <w:color w:val="1E293B"/>
          <w:sz w:val="22"/>
        </w:rPr>
        <w:t>5. Policy Management — AI-generated policies with UK regulatory references</w:t>
      </w:r>
    </w:p>
    <w:p/>
    <w:p>
      <w:r>
        <w:rPr>
          <w:rFonts w:ascii="Arial" w:hAnsi="Arial"/>
          <w:b/>
          <w:i w:val="0"/>
          <w:color w:val="1E293B"/>
          <w:sz w:val="22"/>
        </w:rPr>
        <w:t xml:space="preserve">Key principle: </w:t>
      </w:r>
      <w:r>
        <w:rPr>
          <w:rFonts w:ascii="Arial" w:hAnsi="Arial"/>
          <w:b w:val="0"/>
          <w:i w:val="0"/>
          <w:color w:val="1E293B"/>
          <w:sz w:val="22"/>
        </w:rPr>
        <w:t>Acknowledge the concern, anchor your response to one of the 5 workflows, then provide specific evidence.</w:t>
      </w:r>
    </w:p>
    <w:p>
      <w:r>
        <w:br w:type="page"/>
      </w:r>
    </w:p>
    <w:p>
      <w:pPr>
        <w:pStyle w:val="Heading1"/>
      </w:pPr>
      <w:r>
        <w:rPr>
          <w:color w:val="1B2A4A"/>
        </w:rPr>
        <w:t>DASHBOARD &amp; OVERALL PLATFORM</w:t>
      </w:r>
    </w:p>
    <w:p>
      <w:pPr>
        <w:spacing w:before="120" w:after="80"/>
      </w:pPr>
      <w:r>
        <w:rPr>
          <w:rFonts w:ascii="Arial" w:hAnsi="Arial"/>
          <w:b/>
          <w:i w:val="0"/>
          <w:color w:val="DC2626"/>
          <w:sz w:val="22"/>
        </w:rPr>
        <w:t xml:space="preserve">OBJECTION:  </w:t>
      </w:r>
      <w:r>
        <w:rPr>
          <w:rFonts w:ascii="Arial" w:hAnsi="Arial"/>
          <w:b w:val="0"/>
          <w:i/>
          <w:color w:val="1E293B"/>
          <w:sz w:val="22"/>
        </w:rPr>
        <w:t>"We've managed compliance manually for years — why change now?"</w:t>
      </w:r>
    </w:p>
    <w:p>
      <w:pPr>
        <w:spacing w:after="80"/>
      </w:pPr>
      <w:r>
        <w:rPr>
          <w:rFonts w:ascii="Arial" w:hAnsi="Arial"/>
          <w:b/>
          <w:i w:val="0"/>
          <w:color w:val="059669"/>
          <w:sz w:val="22"/>
        </w:rPr>
        <w:t xml:space="preserve">RESPONSE:  </w:t>
      </w:r>
      <w:r>
        <w:rPr>
          <w:rFonts w:ascii="Arial" w:hAnsi="Arial"/>
          <w:b w:val="0"/>
          <w:i w:val="0"/>
          <w:color w:val="1E293B"/>
          <w:sz w:val="22"/>
        </w:rPr>
        <w:t>The Seema Dashboard gives you what spreadsheets never can: a real-time compliance health score across all SRA obligations in one view. You see pending tasks, upcoming deadlines, critical alerts, and risk indicators — all updating live. The regulatory landscape has intensified post-Brexit: the SRA publishes updates weekly, ICO enforcement has ramped up under UK GDPR, and AML requirements are being actively enforced. In 2024, the SRA took action against 147 firms. Manual tracking means you're one missed update away from a regulatory breach. The Dashboard ensures nothing slips through.</w:t>
      </w:r>
    </w:p>
    <w:p>
      <w:pPr>
        <w:spacing w:after="320"/>
      </w:pPr>
      <w:r>
        <w:rPr>
          <w:rFonts w:ascii="Arial" w:hAnsi="Arial"/>
          <w:b/>
          <w:i w:val="0"/>
          <w:color w:val="0891B2"/>
          <w:sz w:val="20"/>
        </w:rPr>
        <w:t xml:space="preserve">PROOF POINT:  </w:t>
      </w:r>
      <w:r>
        <w:rPr>
          <w:rFonts w:ascii="Arial" w:hAnsi="Arial"/>
          <w:b w:val="0"/>
          <w:i/>
          <w:color w:val="64748B"/>
          <w:sz w:val="20"/>
        </w:rPr>
        <w:t>SRA took action against 147 firms in 2024. Dashboard provides real-time compliance health score.</w:t>
      </w:r>
    </w:p>
    <w:p>
      <w:pPr>
        <w:spacing w:before="40" w:after="40"/>
        <w:pBdr>
          <w:bottom w:val="single" w:sz="4" w:color="E2E8F0" w:space="1"/>
        </w:pBdr>
      </w:pPr>
    </w:p>
    <w:p>
      <w:pPr>
        <w:spacing w:before="240" w:after="80"/>
      </w:pPr>
      <w:r>
        <w:rPr>
          <w:rFonts w:ascii="Arial" w:hAnsi="Arial"/>
          <w:b/>
          <w:i w:val="0"/>
          <w:color w:val="DC2626"/>
          <w:sz w:val="22"/>
        </w:rPr>
        <w:t xml:space="preserve">OBJECTION:  </w:t>
      </w:r>
      <w:r>
        <w:rPr>
          <w:rFonts w:ascii="Arial" w:hAnsi="Arial"/>
          <w:b w:val="0"/>
          <w:i/>
          <w:color w:val="1E293B"/>
          <w:sz w:val="22"/>
        </w:rPr>
        <w:t>"Does it actually do anything our current spreadsheet can't?"</w:t>
      </w:r>
    </w:p>
    <w:p>
      <w:pPr>
        <w:spacing w:after="80"/>
      </w:pPr>
      <w:r>
        <w:rPr>
          <w:rFonts w:ascii="Arial" w:hAnsi="Arial"/>
          <w:b/>
          <w:i w:val="0"/>
          <w:color w:val="059669"/>
          <w:sz w:val="22"/>
        </w:rPr>
        <w:t xml:space="preserve">RESPONSE:  </w:t>
      </w:r>
      <w:r>
        <w:rPr>
          <w:rFonts w:ascii="Arial" w:hAnsi="Arial"/>
          <w:b w:val="0"/>
          <w:i w:val="0"/>
          <w:color w:val="1E293B"/>
          <w:sz w:val="22"/>
        </w:rPr>
        <w:t>Your spreadsheet doesn't have a compliance health score. It doesn't send your COLP an email the moment a breach is reported. It doesn't monitor 5 regulatory sources every 4 hours. It doesn't auto-generate policies with UK legal references. The Dashboard alone gives you a single-pane-of-glass view across all 5 workflows — regulatory intelligence, breach reporting, SRA audit readiness, policy status, and compliance health — something no spreadsheet can replicate.</w:t>
      </w:r>
    </w:p>
    <w:p>
      <w:pPr>
        <w:spacing w:after="320"/>
      </w:pPr>
      <w:r>
        <w:rPr>
          <w:rFonts w:ascii="Arial" w:hAnsi="Arial"/>
          <w:b/>
          <w:i w:val="0"/>
          <w:color w:val="0891B2"/>
          <w:sz w:val="20"/>
        </w:rPr>
        <w:t xml:space="preserve">PROOF POINT:  </w:t>
      </w:r>
      <w:r>
        <w:rPr>
          <w:rFonts w:ascii="Arial" w:hAnsi="Arial"/>
          <w:b w:val="0"/>
          <w:i/>
          <w:color w:val="64748B"/>
          <w:sz w:val="20"/>
        </w:rPr>
        <w:t>5 core workflows in one platform. 21+ compliance modules. Real-time health scoring.</w:t>
      </w:r>
    </w:p>
    <w:p>
      <w:r>
        <w:br w:type="page"/>
      </w:r>
    </w:p>
    <w:p>
      <w:pPr>
        <w:pStyle w:val="Heading1"/>
      </w:pPr>
      <w:r>
        <w:rPr>
          <w:color w:val="1B2A4A"/>
        </w:rPr>
        <w:t>REGULATORY INTELLIGENCE</w:t>
      </w:r>
    </w:p>
    <w:p>
      <w:pPr>
        <w:spacing w:before="120" w:after="80"/>
      </w:pPr>
      <w:r>
        <w:rPr>
          <w:rFonts w:ascii="Arial" w:hAnsi="Arial"/>
          <w:b/>
          <w:i w:val="0"/>
          <w:color w:val="DC2626"/>
          <w:sz w:val="22"/>
        </w:rPr>
        <w:t xml:space="preserve">OBJECTION:  </w:t>
      </w:r>
      <w:r>
        <w:rPr>
          <w:rFonts w:ascii="Arial" w:hAnsi="Arial"/>
          <w:b w:val="0"/>
          <w:i/>
          <w:color w:val="1E293B"/>
          <w:sz w:val="22"/>
        </w:rPr>
        <w:t>"We already read the SRA updates ourselves."</w:t>
      </w:r>
    </w:p>
    <w:p>
      <w:pPr>
        <w:spacing w:after="80"/>
      </w:pPr>
      <w:r>
        <w:rPr>
          <w:rFonts w:ascii="Arial" w:hAnsi="Arial"/>
          <w:b/>
          <w:i w:val="0"/>
          <w:color w:val="059669"/>
          <w:sz w:val="22"/>
        </w:rPr>
        <w:t xml:space="preserve">RESPONSE:  </w:t>
      </w:r>
      <w:r>
        <w:rPr>
          <w:rFonts w:ascii="Arial" w:hAnsi="Arial"/>
          <w:b w:val="0"/>
          <w:i w:val="0"/>
          <w:color w:val="1E293B"/>
          <w:sz w:val="22"/>
        </w:rPr>
        <w:t>The SRA is just one of five sources. Are you also manually checking the ICO, HMRC, Law Society, and GOV.UK? Seema's AI monitors all five every 4 hours — that's 30 automated scans per day. But monitoring is only half of it: the AI then analyses each update against YOUR firm's specific profile, identifies which SRA Principles are affected, and generates action items with deadlines. Your COLP reading a notice is one thing; Seema telling your COLP exactly what to do about it is another.</w:t>
      </w:r>
    </w:p>
    <w:p>
      <w:pPr>
        <w:spacing w:after="320"/>
      </w:pPr>
      <w:r>
        <w:rPr>
          <w:rFonts w:ascii="Arial" w:hAnsi="Arial"/>
          <w:b/>
          <w:i w:val="0"/>
          <w:color w:val="0891B2"/>
          <w:sz w:val="20"/>
        </w:rPr>
        <w:t xml:space="preserve">PROOF POINT:  </w:t>
      </w:r>
      <w:r>
        <w:rPr>
          <w:rFonts w:ascii="Arial" w:hAnsi="Arial"/>
          <w:b w:val="0"/>
          <w:i/>
          <w:color w:val="64748B"/>
          <w:sz w:val="20"/>
        </w:rPr>
        <w:t>5 regulatory sources. 30 scans/day. AI impact analysis tailored to firm profile.</w:t>
      </w:r>
    </w:p>
    <w:p>
      <w:pPr>
        <w:spacing w:before="40" w:after="40"/>
        <w:pBdr>
          <w:bottom w:val="single" w:sz="4" w:color="E2E8F0" w:space="1"/>
        </w:pBdr>
      </w:pPr>
    </w:p>
    <w:p>
      <w:pPr>
        <w:spacing w:before="240" w:after="80"/>
      </w:pPr>
      <w:r>
        <w:rPr>
          <w:rFonts w:ascii="Arial" w:hAnsi="Arial"/>
          <w:b/>
          <w:i w:val="0"/>
          <w:color w:val="DC2626"/>
          <w:sz w:val="22"/>
        </w:rPr>
        <w:t xml:space="preserve">OBJECTION:  </w:t>
      </w:r>
      <w:r>
        <w:rPr>
          <w:rFonts w:ascii="Arial" w:hAnsi="Arial"/>
          <w:b w:val="0"/>
          <w:i/>
          <w:color w:val="1E293B"/>
          <w:sz w:val="22"/>
        </w:rPr>
        <w:t>"How do we know the AI analysis is accurate?"</w:t>
      </w:r>
    </w:p>
    <w:p>
      <w:pPr>
        <w:spacing w:after="80"/>
      </w:pPr>
      <w:r>
        <w:rPr>
          <w:rFonts w:ascii="Arial" w:hAnsi="Arial"/>
          <w:b/>
          <w:i w:val="0"/>
          <w:color w:val="059669"/>
          <w:sz w:val="22"/>
        </w:rPr>
        <w:t xml:space="preserve">RESPONSE:  </w:t>
      </w:r>
      <w:r>
        <w:rPr>
          <w:rFonts w:ascii="Arial" w:hAnsi="Arial"/>
          <w:b w:val="0"/>
          <w:i w:val="0"/>
          <w:color w:val="1E293B"/>
          <w:sz w:val="22"/>
        </w:rPr>
        <w:t>Every AI output includes the full reasoning chain and source references back to the original regulatory notice. Your COLP reviews and decides — Seema is a decision-support tool, not a decision-maker. We use Anthropic's Claude, one of the most safety-focused AI models available, with specialised prompts for UK legal compliance. And if the AI is ever unavailable, fallback mechanisms ensure monitoring continues without interruption.</w:t>
      </w:r>
    </w:p>
    <w:p>
      <w:pPr>
        <w:spacing w:after="320"/>
      </w:pPr>
      <w:r>
        <w:rPr>
          <w:rFonts w:ascii="Arial" w:hAnsi="Arial"/>
          <w:b/>
          <w:i w:val="0"/>
          <w:color w:val="0891B2"/>
          <w:sz w:val="20"/>
        </w:rPr>
        <w:t xml:space="preserve">PROOF POINT:  </w:t>
      </w:r>
      <w:r>
        <w:rPr>
          <w:rFonts w:ascii="Arial" w:hAnsi="Arial"/>
          <w:b w:val="0"/>
          <w:i/>
          <w:color w:val="64748B"/>
          <w:sz w:val="20"/>
        </w:rPr>
        <w:t>Human-in-the-loop design. Source references included. Fallback mechanisms built in.</w:t>
      </w:r>
    </w:p>
    <w:p>
      <w:r>
        <w:br w:type="page"/>
      </w:r>
    </w:p>
    <w:p>
      <w:pPr>
        <w:pStyle w:val="Heading1"/>
      </w:pPr>
      <w:r>
        <w:rPr>
          <w:color w:val="1B2A4A"/>
        </w:rPr>
        <w:t>BREACH REPORTING</w:t>
      </w:r>
    </w:p>
    <w:p>
      <w:pPr>
        <w:spacing w:before="120" w:after="80"/>
      </w:pPr>
      <w:r>
        <w:rPr>
          <w:rFonts w:ascii="Arial" w:hAnsi="Arial"/>
          <w:b/>
          <w:i w:val="0"/>
          <w:color w:val="DC2626"/>
          <w:sz w:val="22"/>
        </w:rPr>
        <w:t xml:space="preserve">OBJECTION:  </w:t>
      </w:r>
      <w:r>
        <w:rPr>
          <w:rFonts w:ascii="Arial" w:hAnsi="Arial"/>
          <w:b w:val="0"/>
          <w:i/>
          <w:color w:val="1E293B"/>
          <w:sz w:val="22"/>
        </w:rPr>
        <w:t>"We rarely have breaches — is this feature worth paying for?"</w:t>
      </w:r>
    </w:p>
    <w:p>
      <w:pPr>
        <w:spacing w:after="80"/>
      </w:pPr>
      <w:r>
        <w:rPr>
          <w:rFonts w:ascii="Arial" w:hAnsi="Arial"/>
          <w:b/>
          <w:i w:val="0"/>
          <w:color w:val="059669"/>
          <w:sz w:val="22"/>
        </w:rPr>
        <w:t xml:space="preserve">RESPONSE:  </w:t>
      </w:r>
      <w:r>
        <w:rPr>
          <w:rFonts w:ascii="Arial" w:hAnsi="Arial"/>
          <w:b w:val="0"/>
          <w:i w:val="0"/>
          <w:color w:val="1E293B"/>
          <w:sz w:val="22"/>
        </w:rPr>
        <w:t>Every firm thinks that until it happens. A misdirected email, a lost laptop, an unauthorised file access — these are all reportable breaches under UK GDPR. When one occurs, you have exactly 72 hours to assess and report to the ICO under Article 33. Seema auto-calculates that deadline the moment a breach is logged, sends an immediate email alert to your COLP, creates a critical compliance alert, and — when you click 'Analyse Breach' — the AI assesses whether ICO notification is actually required, identifies SRA implications, and generates a prioritised remediation plan. Having this ready before you need it is the entire point.</w:t>
      </w:r>
    </w:p>
    <w:p>
      <w:pPr>
        <w:spacing w:after="320"/>
      </w:pPr>
      <w:r>
        <w:rPr>
          <w:rFonts w:ascii="Arial" w:hAnsi="Arial"/>
          <w:b/>
          <w:i w:val="0"/>
          <w:color w:val="0891B2"/>
          <w:sz w:val="20"/>
        </w:rPr>
        <w:t xml:space="preserve">PROOF POINT:  </w:t>
      </w:r>
      <w:r>
        <w:rPr>
          <w:rFonts w:ascii="Arial" w:hAnsi="Arial"/>
          <w:b w:val="0"/>
          <w:i/>
          <w:color w:val="64748B"/>
          <w:sz w:val="20"/>
        </w:rPr>
        <w:t>ICO 72-hour deadline auto-calculated. COLP alerted by email instantly. AI breach analysis on demand.</w:t>
      </w:r>
    </w:p>
    <w:p>
      <w:pPr>
        <w:spacing w:before="40" w:after="40"/>
        <w:pBdr>
          <w:bottom w:val="single" w:sz="4" w:color="E2E8F0" w:space="1"/>
        </w:pBdr>
      </w:pPr>
    </w:p>
    <w:p>
      <w:pPr>
        <w:spacing w:before="240" w:after="80"/>
      </w:pPr>
      <w:r>
        <w:rPr>
          <w:rFonts w:ascii="Arial" w:hAnsi="Arial"/>
          <w:b/>
          <w:i w:val="0"/>
          <w:color w:val="DC2626"/>
          <w:sz w:val="22"/>
        </w:rPr>
        <w:t xml:space="preserve">OBJECTION:  </w:t>
      </w:r>
      <w:r>
        <w:rPr>
          <w:rFonts w:ascii="Arial" w:hAnsi="Arial"/>
          <w:b w:val="0"/>
          <w:i/>
          <w:color w:val="1E293B"/>
          <w:sz w:val="22"/>
        </w:rPr>
        <w:t>"Can't we just use the ICO's own breach reporting tool?"</w:t>
      </w:r>
    </w:p>
    <w:p>
      <w:pPr>
        <w:spacing w:after="80"/>
      </w:pPr>
      <w:r>
        <w:rPr>
          <w:rFonts w:ascii="Arial" w:hAnsi="Arial"/>
          <w:b/>
          <w:i w:val="0"/>
          <w:color w:val="059669"/>
          <w:sz w:val="22"/>
        </w:rPr>
        <w:t xml:space="preserve">RESPONSE:  </w:t>
      </w:r>
      <w:r>
        <w:rPr>
          <w:rFonts w:ascii="Arial" w:hAnsi="Arial"/>
          <w:b w:val="0"/>
          <w:i w:val="0"/>
          <w:color w:val="1E293B"/>
          <w:sz w:val="22"/>
        </w:rPr>
        <w:t>The ICO tool is for submitting the report — it doesn't help you assess whether a report is even required, calculate your deadline, analyse the SRA implications, or create a remediation plan. Seema handles the entire lifecycle: from the moment a breach is discovered, through assessment, notification decision, remediation, and resolution. The ICO tool is the last step; Seema covers everything before it.</w:t>
      </w:r>
    </w:p>
    <w:p>
      <w:pPr>
        <w:spacing w:after="320"/>
      </w:pPr>
      <w:r>
        <w:rPr>
          <w:rFonts w:ascii="Arial" w:hAnsi="Arial"/>
          <w:b/>
          <w:i w:val="0"/>
          <w:color w:val="0891B2"/>
          <w:sz w:val="20"/>
        </w:rPr>
        <w:t xml:space="preserve">PROOF POINT:  </w:t>
      </w:r>
      <w:r>
        <w:rPr>
          <w:rFonts w:ascii="Arial" w:hAnsi="Arial"/>
          <w:b w:val="0"/>
          <w:i/>
          <w:color w:val="64748B"/>
          <w:sz w:val="20"/>
        </w:rPr>
        <w:t>Full breach lifecycle management. AI assessment of ICO notification requirement.</w:t>
      </w:r>
    </w:p>
    <w:p>
      <w:r>
        <w:br w:type="page"/>
      </w:r>
    </w:p>
    <w:p>
      <w:pPr>
        <w:pStyle w:val="Heading1"/>
      </w:pPr>
      <w:r>
        <w:rPr>
          <w:color w:val="1B2A4A"/>
        </w:rPr>
        <w:t>SRA AUDIT WORKFLOW</w:t>
      </w:r>
    </w:p>
    <w:p>
      <w:pPr>
        <w:spacing w:before="120" w:after="80"/>
      </w:pPr>
      <w:r>
        <w:rPr>
          <w:rFonts w:ascii="Arial" w:hAnsi="Arial"/>
          <w:b/>
          <w:i w:val="0"/>
          <w:color w:val="DC2626"/>
          <w:sz w:val="22"/>
        </w:rPr>
        <w:t xml:space="preserve">OBJECTION:  </w:t>
      </w:r>
      <w:r>
        <w:rPr>
          <w:rFonts w:ascii="Arial" w:hAnsi="Arial"/>
          <w:b w:val="0"/>
          <w:i/>
          <w:color w:val="1E293B"/>
          <w:sz w:val="22"/>
        </w:rPr>
        <w:t>"Our COLP already prepares the SRA annual return."</w:t>
      </w:r>
    </w:p>
    <w:p>
      <w:pPr>
        <w:spacing w:after="80"/>
      </w:pPr>
      <w:r>
        <w:rPr>
          <w:rFonts w:ascii="Arial" w:hAnsi="Arial"/>
          <w:b/>
          <w:i w:val="0"/>
          <w:color w:val="059669"/>
          <w:sz w:val="22"/>
        </w:rPr>
        <w:t xml:space="preserve">RESPONSE:  </w:t>
      </w:r>
      <w:r>
        <w:rPr>
          <w:rFonts w:ascii="Arial" w:hAnsi="Arial"/>
          <w:b w:val="0"/>
          <w:i w:val="0"/>
          <w:color w:val="1E293B"/>
          <w:sz w:val="22"/>
        </w:rPr>
        <w:t>Yes, but how many hours does it take? Most COLPs spend 2–3 full days gathering data from spreadsheets, emails, and filing cabinets for the annual return. With Seema's SRA Audit Workflow, the return is pre-populated from compliance data captured throughout the year. Every breach report, policy review, risk assessment, staff training record, and complaint resolution is already logged with timestamps and audit trails. Your COLP reviews and signs off instead of spending days compiling.</w:t>
      </w:r>
    </w:p>
    <w:p>
      <w:pPr>
        <w:spacing w:after="320"/>
      </w:pPr>
      <w:r>
        <w:rPr>
          <w:rFonts w:ascii="Arial" w:hAnsi="Arial"/>
          <w:b/>
          <w:i w:val="0"/>
          <w:color w:val="0891B2"/>
          <w:sz w:val="20"/>
        </w:rPr>
        <w:t xml:space="preserve">PROOF POINT:  </w:t>
      </w:r>
      <w:r>
        <w:rPr>
          <w:rFonts w:ascii="Arial" w:hAnsi="Arial"/>
          <w:b w:val="0"/>
          <w:i/>
          <w:color w:val="64748B"/>
          <w:sz w:val="20"/>
        </w:rPr>
        <w:t>Pre-populated SRA return. Automatic audit trail. Saves 2–3 days per annual cycle.</w:t>
      </w:r>
    </w:p>
    <w:p>
      <w:pPr>
        <w:spacing w:before="40" w:after="40"/>
        <w:pBdr>
          <w:bottom w:val="single" w:sz="4" w:color="E2E8F0" w:space="1"/>
        </w:pBdr>
      </w:pPr>
    </w:p>
    <w:p>
      <w:pPr>
        <w:spacing w:before="240" w:after="80"/>
      </w:pPr>
      <w:r>
        <w:rPr>
          <w:rFonts w:ascii="Arial" w:hAnsi="Arial"/>
          <w:b/>
          <w:i w:val="0"/>
          <w:color w:val="DC2626"/>
          <w:sz w:val="22"/>
        </w:rPr>
        <w:t xml:space="preserve">OBJECTION:  </w:t>
      </w:r>
      <w:r>
        <w:rPr>
          <w:rFonts w:ascii="Arial" w:hAnsi="Arial"/>
          <w:b w:val="0"/>
          <w:i/>
          <w:color w:val="1E293B"/>
          <w:sz w:val="22"/>
        </w:rPr>
        <w:t>"What if the SRA asks for records during an inspection?"</w:t>
      </w:r>
    </w:p>
    <w:p>
      <w:pPr>
        <w:spacing w:after="80"/>
      </w:pPr>
      <w:r>
        <w:rPr>
          <w:rFonts w:ascii="Arial" w:hAnsi="Arial"/>
          <w:b/>
          <w:i w:val="0"/>
          <w:color w:val="059669"/>
          <w:sz w:val="22"/>
        </w:rPr>
        <w:t xml:space="preserve">RESPONSE:  </w:t>
      </w:r>
      <w:r>
        <w:rPr>
          <w:rFonts w:ascii="Arial" w:hAnsi="Arial"/>
          <w:b w:val="0"/>
          <w:i w:val="0"/>
          <w:color w:val="1E293B"/>
          <w:sz w:val="22"/>
        </w:rPr>
        <w:t>That's exactly when Seema pays for itself. Every action in Seema is automatically logged: who did what, when, and why. Breach reports, policy approvals, risk assessments, complaint resolutions, staff training, conflict checks — all timestamped and immutable. When the SRA inspector asks for your compliance records, you open Seema's audit trail and show them everything in one place. No scrambling through emails. No missing documentation.</w:t>
      </w:r>
    </w:p>
    <w:p>
      <w:pPr>
        <w:spacing w:after="320"/>
      </w:pPr>
      <w:r>
        <w:rPr>
          <w:rFonts w:ascii="Arial" w:hAnsi="Arial"/>
          <w:b/>
          <w:i w:val="0"/>
          <w:color w:val="0891B2"/>
          <w:sz w:val="20"/>
        </w:rPr>
        <w:t xml:space="preserve">PROOF POINT:  </w:t>
      </w:r>
      <w:r>
        <w:rPr>
          <w:rFonts w:ascii="Arial" w:hAnsi="Arial"/>
          <w:b w:val="0"/>
          <w:i/>
          <w:color w:val="64748B"/>
          <w:sz w:val="20"/>
        </w:rPr>
        <w:t>Tamper-proof audit trails. Every action timestamped. Inspection-ready at all times.</w:t>
      </w:r>
    </w:p>
    <w:p>
      <w:pPr>
        <w:spacing w:before="40" w:after="40"/>
        <w:pBdr>
          <w:bottom w:val="single" w:sz="4" w:color="E2E8F0" w:space="1"/>
        </w:pBdr>
      </w:pPr>
    </w:p>
    <w:p>
      <w:pPr>
        <w:spacing w:before="240" w:after="80"/>
      </w:pPr>
      <w:r>
        <w:rPr>
          <w:rFonts w:ascii="Arial" w:hAnsi="Arial"/>
          <w:b/>
          <w:i w:val="0"/>
          <w:color w:val="DC2626"/>
          <w:sz w:val="22"/>
        </w:rPr>
        <w:t xml:space="preserve">OBJECTION:  </w:t>
      </w:r>
      <w:r>
        <w:rPr>
          <w:rFonts w:ascii="Arial" w:hAnsi="Arial"/>
          <w:b w:val="0"/>
          <w:i/>
          <w:color w:val="1E293B"/>
          <w:sz w:val="22"/>
        </w:rPr>
        <w:t>"We don't have SRA inspections very often."</w:t>
      </w:r>
    </w:p>
    <w:p>
      <w:pPr>
        <w:spacing w:after="80"/>
      </w:pPr>
      <w:r>
        <w:rPr>
          <w:rFonts w:ascii="Arial" w:hAnsi="Arial"/>
          <w:b/>
          <w:i w:val="0"/>
          <w:color w:val="059669"/>
          <w:sz w:val="22"/>
        </w:rPr>
        <w:t xml:space="preserve">RESPONSE:  </w:t>
      </w:r>
      <w:r>
        <w:rPr>
          <w:rFonts w:ascii="Arial" w:hAnsi="Arial"/>
          <w:b w:val="0"/>
          <w:i w:val="0"/>
          <w:color w:val="1E293B"/>
          <w:sz w:val="22"/>
        </w:rPr>
        <w:t>The SRA has been increasing its proactive supervision. But the audit workflow isn't just for inspections — it's your daily compliance backbone. It tracks COLP/COFA obligations, monitors whether policies are due for review, flags overdue risk assessments, and ensures your firm can demonstrate continuous compliance. When the SRA does come calling — or when you need to demonstrate compliance to insurers or clients — everything is ready.</w:t>
      </w:r>
    </w:p>
    <w:p>
      <w:pPr>
        <w:spacing w:after="320"/>
      </w:pPr>
      <w:r>
        <w:rPr>
          <w:rFonts w:ascii="Arial" w:hAnsi="Arial"/>
          <w:b/>
          <w:i w:val="0"/>
          <w:color w:val="0891B2"/>
          <w:sz w:val="20"/>
        </w:rPr>
        <w:t xml:space="preserve">PROOF POINT:  </w:t>
      </w:r>
      <w:r>
        <w:rPr>
          <w:rFonts w:ascii="Arial" w:hAnsi="Arial"/>
          <w:b w:val="0"/>
          <w:i/>
          <w:color w:val="64748B"/>
          <w:sz w:val="20"/>
        </w:rPr>
        <w:t>SRA proactive supervision increasing. Continuous compliance monitoring, not just annual.</w:t>
      </w:r>
    </w:p>
    <w:p>
      <w:r>
        <w:br w:type="page"/>
      </w:r>
    </w:p>
    <w:p>
      <w:pPr>
        <w:pStyle w:val="Heading1"/>
      </w:pPr>
      <w:r>
        <w:rPr>
          <w:color w:val="1B2A4A"/>
        </w:rPr>
        <w:t>POLICY MANAGEMENT</w:t>
      </w:r>
    </w:p>
    <w:p>
      <w:pPr>
        <w:spacing w:before="120" w:after="80"/>
      </w:pPr>
      <w:r>
        <w:rPr>
          <w:rFonts w:ascii="Arial" w:hAnsi="Arial"/>
          <w:b/>
          <w:i w:val="0"/>
          <w:color w:val="DC2626"/>
          <w:sz w:val="22"/>
        </w:rPr>
        <w:t xml:space="preserve">OBJECTION:  </w:t>
      </w:r>
      <w:r>
        <w:rPr>
          <w:rFonts w:ascii="Arial" w:hAnsi="Arial"/>
          <w:b w:val="0"/>
          <w:i/>
          <w:color w:val="1E293B"/>
          <w:sz w:val="22"/>
        </w:rPr>
        <w:t>"We already have policies in place."</w:t>
      </w:r>
    </w:p>
    <w:p>
      <w:pPr>
        <w:spacing w:after="80"/>
      </w:pPr>
      <w:r>
        <w:rPr>
          <w:rFonts w:ascii="Arial" w:hAnsi="Arial"/>
          <w:b/>
          <w:i w:val="0"/>
          <w:color w:val="059669"/>
          <w:sz w:val="22"/>
        </w:rPr>
        <w:t xml:space="preserve">RESPONSE:  </w:t>
      </w:r>
      <w:r>
        <w:rPr>
          <w:rFonts w:ascii="Arial" w:hAnsi="Arial"/>
          <w:b w:val="0"/>
          <w:i w:val="0"/>
          <w:color w:val="1E293B"/>
          <w:sz w:val="22"/>
        </w:rPr>
        <w:t>When were they last reviewed? The SRA expects policies to be current and reflect the latest regulations. Seema's Policy Management workflow tracks review dates and sends reminders when policies are approaching their review deadline. More importantly, when a regulatory change is detected by our AI, Seema can flag which policies need updating. And when you need a new policy or a complete rewrite, the AI generates comprehensive drafts with proper UK regulatory references — POCA 2002, UK GDPR, Equality Act 2010, Bribery Act 2010 — in seconds, not days.</w:t>
      </w:r>
    </w:p>
    <w:p>
      <w:pPr>
        <w:spacing w:after="320"/>
      </w:pPr>
      <w:r>
        <w:rPr>
          <w:rFonts w:ascii="Arial" w:hAnsi="Arial"/>
          <w:b/>
          <w:i w:val="0"/>
          <w:color w:val="0891B2"/>
          <w:sz w:val="20"/>
        </w:rPr>
        <w:t xml:space="preserve">PROOF POINT:  </w:t>
      </w:r>
      <w:r>
        <w:rPr>
          <w:rFonts w:ascii="Arial" w:hAnsi="Arial"/>
          <w:b w:val="0"/>
          <w:i/>
          <w:color w:val="64748B"/>
          <w:sz w:val="20"/>
        </w:rPr>
        <w:t>6 policy categories. Automatic review reminders. AI drafts with UK legal references.</w:t>
      </w:r>
    </w:p>
    <w:p>
      <w:pPr>
        <w:spacing w:before="40" w:after="40"/>
        <w:pBdr>
          <w:bottom w:val="single" w:sz="4" w:color="E2E8F0" w:space="1"/>
        </w:pBdr>
      </w:pPr>
    </w:p>
    <w:p>
      <w:pPr>
        <w:spacing w:before="240" w:after="80"/>
      </w:pPr>
      <w:r>
        <w:rPr>
          <w:rFonts w:ascii="Arial" w:hAnsi="Arial"/>
          <w:b/>
          <w:i w:val="0"/>
          <w:color w:val="DC2626"/>
          <w:sz w:val="22"/>
        </w:rPr>
        <w:t xml:space="preserve">OBJECTION:  </w:t>
      </w:r>
      <w:r>
        <w:rPr>
          <w:rFonts w:ascii="Arial" w:hAnsi="Arial"/>
          <w:b w:val="0"/>
          <w:i/>
          <w:color w:val="1E293B"/>
          <w:sz w:val="22"/>
        </w:rPr>
        <w:t>"AI-generated policies can't be as good as ones written by a compliance expert."</w:t>
      </w:r>
    </w:p>
    <w:p>
      <w:pPr>
        <w:spacing w:after="80"/>
      </w:pPr>
      <w:r>
        <w:rPr>
          <w:rFonts w:ascii="Arial" w:hAnsi="Arial"/>
          <w:b/>
          <w:i w:val="0"/>
          <w:color w:val="059669"/>
          <w:sz w:val="22"/>
        </w:rPr>
        <w:t xml:space="preserve">RESPONSE:  </w:t>
      </w:r>
      <w:r>
        <w:rPr>
          <w:rFonts w:ascii="Arial" w:hAnsi="Arial"/>
          <w:b w:val="0"/>
          <w:i w:val="0"/>
          <w:color w:val="1E293B"/>
          <w:sz w:val="22"/>
        </w:rPr>
        <w:t>You're right that they need expert review — and that's how Seema works. The AI generates a comprehensive first draft with proper structure, regulatory references, and firm-specific context. Your COLP or compliance consultant then reviews, edits, and approves. We're not replacing expertise; we're eliminating the blank-page problem. A consultant who would charge £200–£300 per hour to draft a policy from scratch can now spend 30 minutes reviewing an AI-generated draft instead.</w:t>
      </w:r>
    </w:p>
    <w:p>
      <w:pPr>
        <w:spacing w:after="320"/>
      </w:pPr>
      <w:r>
        <w:rPr>
          <w:rFonts w:ascii="Arial" w:hAnsi="Arial"/>
          <w:b/>
          <w:i w:val="0"/>
          <w:color w:val="0891B2"/>
          <w:sz w:val="20"/>
        </w:rPr>
        <w:t xml:space="preserve">PROOF POINT:  </w:t>
      </w:r>
      <w:r>
        <w:rPr>
          <w:rFonts w:ascii="Arial" w:hAnsi="Arial"/>
          <w:b w:val="0"/>
          <w:i/>
          <w:color w:val="64748B"/>
          <w:sz w:val="20"/>
        </w:rPr>
        <w:t>AI as first draft, human as final approval. Saves £500–£1,500 per policy document.</w:t>
      </w:r>
    </w:p>
    <w:p>
      <w:r>
        <w:br w:type="page"/>
      </w:r>
    </w:p>
    <w:p>
      <w:pPr>
        <w:pStyle w:val="Heading1"/>
      </w:pPr>
      <w:r>
        <w:rPr>
          <w:color w:val="1B2A4A"/>
        </w:rPr>
        <w:t>COST, TRUST &amp; COMPETITION</w:t>
      </w:r>
    </w:p>
    <w:p>
      <w:pPr>
        <w:spacing w:before="120" w:after="80"/>
      </w:pPr>
      <w:r>
        <w:rPr>
          <w:rFonts w:ascii="Arial" w:hAnsi="Arial"/>
          <w:b/>
          <w:i w:val="0"/>
          <w:color w:val="DC2626"/>
          <w:sz w:val="22"/>
        </w:rPr>
        <w:t xml:space="preserve">OBJECTION:  </w:t>
      </w:r>
      <w:r>
        <w:rPr>
          <w:rFonts w:ascii="Arial" w:hAnsi="Arial"/>
          <w:b w:val="0"/>
          <w:i/>
          <w:color w:val="1E293B"/>
          <w:sz w:val="22"/>
        </w:rPr>
        <w:t>"We can't justify the cost — we're a small firm."</w:t>
      </w:r>
    </w:p>
    <w:p>
      <w:pPr>
        <w:spacing w:after="80"/>
      </w:pPr>
      <w:r>
        <w:rPr>
          <w:rFonts w:ascii="Arial" w:hAnsi="Arial"/>
          <w:b/>
          <w:i w:val="0"/>
          <w:color w:val="059669"/>
          <w:sz w:val="22"/>
        </w:rPr>
        <w:t xml:space="preserve">RESPONSE:  </w:t>
      </w:r>
      <w:r>
        <w:rPr>
          <w:rFonts w:ascii="Arial" w:hAnsi="Arial"/>
          <w:b w:val="0"/>
          <w:i w:val="0"/>
          <w:color w:val="1E293B"/>
          <w:sz w:val="22"/>
        </w:rPr>
        <w:t>Seema starts at £49/month for our Starter plan. Consider what a single compliance failure costs: SRA fines average £10,000–£50,000, ICO breach fines can reach £17.5M under UK GDPR. Our ROI calculator shows most small firms save 15–20 hours per month across the 5 workflows — that's £3,000–£6,000 in fee-earner time recovered. The Dashboard, Regulatory Intelligence, Breach Reporting, SRA Audit Workflow, and Policy Management together replace what would otherwise require a part-time compliance officer.</w:t>
      </w:r>
    </w:p>
    <w:p>
      <w:pPr>
        <w:spacing w:after="320"/>
      </w:pPr>
      <w:r>
        <w:rPr>
          <w:rFonts w:ascii="Arial" w:hAnsi="Arial"/>
          <w:b/>
          <w:i w:val="0"/>
          <w:color w:val="0891B2"/>
          <w:sz w:val="20"/>
        </w:rPr>
        <w:t xml:space="preserve">PROOF POINT:  </w:t>
      </w:r>
      <w:r>
        <w:rPr>
          <w:rFonts w:ascii="Arial" w:hAnsi="Arial"/>
          <w:b w:val="0"/>
          <w:i/>
          <w:color w:val="64748B"/>
          <w:sz w:val="20"/>
        </w:rPr>
        <w:t>Starter plan: £49/month. Average SRA fine: £10,000–£50,000. 15–20 hours/month saved.</w:t>
      </w:r>
    </w:p>
    <w:p>
      <w:pPr>
        <w:spacing w:before="40" w:after="40"/>
        <w:pBdr>
          <w:bottom w:val="single" w:sz="4" w:color="E2E8F0" w:space="1"/>
        </w:pBdr>
      </w:pPr>
    </w:p>
    <w:p>
      <w:pPr>
        <w:spacing w:before="240" w:after="80"/>
      </w:pPr>
      <w:r>
        <w:rPr>
          <w:rFonts w:ascii="Arial" w:hAnsi="Arial"/>
          <w:b/>
          <w:i w:val="0"/>
          <w:color w:val="DC2626"/>
          <w:sz w:val="22"/>
        </w:rPr>
        <w:t xml:space="preserve">OBJECTION:  </w:t>
      </w:r>
      <w:r>
        <w:rPr>
          <w:rFonts w:ascii="Arial" w:hAnsi="Arial"/>
          <w:b w:val="0"/>
          <w:i/>
          <w:color w:val="1E293B"/>
          <w:sz w:val="22"/>
        </w:rPr>
        <w:t>"How do we know our client data is safe?"</w:t>
      </w:r>
    </w:p>
    <w:p>
      <w:pPr>
        <w:spacing w:after="80"/>
      </w:pPr>
      <w:r>
        <w:rPr>
          <w:rFonts w:ascii="Arial" w:hAnsi="Arial"/>
          <w:b/>
          <w:i w:val="0"/>
          <w:color w:val="059669"/>
          <w:sz w:val="22"/>
        </w:rPr>
        <w:t xml:space="preserve">RESPONSE:  </w:t>
      </w:r>
      <w:r>
        <w:rPr>
          <w:rFonts w:ascii="Arial" w:hAnsi="Arial"/>
          <w:b w:val="0"/>
          <w:i w:val="0"/>
          <w:color w:val="1E293B"/>
          <w:sz w:val="22"/>
        </w:rPr>
        <w:t>Seema is built with law-firm-grade security. AES-256 encryption at rest, TLS 1.3 in transit, row-level multi-tenancy so your firm's data is completely isolated. We have a signed DPA template, 8 legal documents including a DPIA and Incident Response Plan, and we're registered with the ICO as a data processor. Your compliance data stays in your firm's isolated environment — we don't mix tenants.</w:t>
      </w:r>
    </w:p>
    <w:p>
      <w:pPr>
        <w:spacing w:after="320"/>
      </w:pPr>
      <w:r>
        <w:rPr>
          <w:rFonts w:ascii="Arial" w:hAnsi="Arial"/>
          <w:b/>
          <w:i w:val="0"/>
          <w:color w:val="0891B2"/>
          <w:sz w:val="20"/>
        </w:rPr>
        <w:t xml:space="preserve">PROOF POINT:  </w:t>
      </w:r>
      <w:r>
        <w:rPr>
          <w:rFonts w:ascii="Arial" w:hAnsi="Arial"/>
          <w:b w:val="0"/>
          <w:i/>
          <w:color w:val="64748B"/>
          <w:sz w:val="20"/>
        </w:rPr>
        <w:t>AES-256, TLS 1.3, row-level isolation. DPA and 8 legal documents ready.</w:t>
      </w:r>
    </w:p>
    <w:p>
      <w:pPr>
        <w:spacing w:before="40" w:after="40"/>
        <w:pBdr>
          <w:bottom w:val="single" w:sz="4" w:color="E2E8F0" w:space="1"/>
        </w:pBdr>
      </w:pPr>
    </w:p>
    <w:p>
      <w:pPr>
        <w:spacing w:before="240" w:after="80"/>
      </w:pPr>
      <w:r>
        <w:rPr>
          <w:rFonts w:ascii="Arial" w:hAnsi="Arial"/>
          <w:b/>
          <w:i w:val="0"/>
          <w:color w:val="DC2626"/>
          <w:sz w:val="22"/>
        </w:rPr>
        <w:t xml:space="preserve">OBJECTION:  </w:t>
      </w:r>
      <w:r>
        <w:rPr>
          <w:rFonts w:ascii="Arial" w:hAnsi="Arial"/>
          <w:b w:val="0"/>
          <w:i/>
          <w:color w:val="1E293B"/>
          <w:sz w:val="22"/>
        </w:rPr>
        <w:t>"How is this different from generic compliance software?"</w:t>
      </w:r>
    </w:p>
    <w:p>
      <w:pPr>
        <w:spacing w:after="80"/>
      </w:pPr>
      <w:r>
        <w:rPr>
          <w:rFonts w:ascii="Arial" w:hAnsi="Arial"/>
          <w:b/>
          <w:i w:val="0"/>
          <w:color w:val="059669"/>
          <w:sz w:val="22"/>
        </w:rPr>
        <w:t xml:space="preserve">RESPONSE:  </w:t>
      </w:r>
      <w:r>
        <w:rPr>
          <w:rFonts w:ascii="Arial" w:hAnsi="Arial"/>
          <w:b w:val="0"/>
          <w:i w:val="0"/>
          <w:color w:val="1E293B"/>
          <w:sz w:val="22"/>
        </w:rPr>
        <w:t>Generic tools don't know the difference between SRA Principle 7 and a Code of Conduct rule. They don't monitor the SRA, ICO, and Law Society specifically. They don't auto-calculate 72-hour ICO breach deadlines or pre-populate your SRA annual return. Every one of Seema's 5 core workflows is built exclusively for SRA-regulated law firms. The policy templates reference UK legislation. The breach analysis considers SRA reporting obligations alongside ICO requirements. No generic tool does that.</w:t>
      </w:r>
    </w:p>
    <w:p>
      <w:pPr>
        <w:spacing w:after="320"/>
      </w:pPr>
      <w:r>
        <w:rPr>
          <w:rFonts w:ascii="Arial" w:hAnsi="Arial"/>
          <w:b/>
          <w:i w:val="0"/>
          <w:color w:val="0891B2"/>
          <w:sz w:val="20"/>
        </w:rPr>
        <w:t xml:space="preserve">PROOF POINT:  </w:t>
      </w:r>
      <w:r>
        <w:rPr>
          <w:rFonts w:ascii="Arial" w:hAnsi="Arial"/>
          <w:b w:val="0"/>
          <w:i/>
          <w:color w:val="64748B"/>
          <w:sz w:val="20"/>
        </w:rPr>
        <w:t>Built exclusively for SRA-regulated firms. All outputs reference UK legal regulations.</w:t>
      </w:r>
    </w:p>
    <w:p>
      <w:pPr>
        <w:spacing w:before="40" w:after="40"/>
        <w:pBdr>
          <w:bottom w:val="single" w:sz="4" w:color="E2E8F0" w:space="1"/>
        </w:pBdr>
      </w:pPr>
    </w:p>
    <w:p>
      <w:pPr>
        <w:spacing w:before="240" w:after="80"/>
      </w:pPr>
      <w:r>
        <w:rPr>
          <w:rFonts w:ascii="Arial" w:hAnsi="Arial"/>
          <w:b/>
          <w:i w:val="0"/>
          <w:color w:val="DC2626"/>
          <w:sz w:val="22"/>
        </w:rPr>
        <w:t xml:space="preserve">OBJECTION:  </w:t>
      </w:r>
      <w:r>
        <w:rPr>
          <w:rFonts w:ascii="Arial" w:hAnsi="Arial"/>
          <w:b w:val="0"/>
          <w:i/>
          <w:color w:val="1E293B"/>
          <w:sz w:val="22"/>
        </w:rPr>
        <w:t>"Our compliance consultant handles everything already."</w:t>
      </w:r>
    </w:p>
    <w:p>
      <w:pPr>
        <w:spacing w:after="80"/>
      </w:pPr>
      <w:r>
        <w:rPr>
          <w:rFonts w:ascii="Arial" w:hAnsi="Arial"/>
          <w:b/>
          <w:i w:val="0"/>
          <w:color w:val="059669"/>
          <w:sz w:val="22"/>
        </w:rPr>
        <w:t xml:space="preserve">RESPONSE:  </w:t>
      </w:r>
      <w:r>
        <w:rPr>
          <w:rFonts w:ascii="Arial" w:hAnsi="Arial"/>
          <w:b w:val="0"/>
          <w:i w:val="0"/>
          <w:color w:val="1E293B"/>
          <w:sz w:val="22"/>
        </w:rPr>
        <w:t>Seema makes your consultant more effective — and cheaper. Instead of paying £150–£300/hour for manual regulatory reviews and policy drafting, your consultant uses Seema's Regulatory Intelligence and AI-generated policy drafts as starting points. The SRA Audit Workflow captures compliance data year-round, so your consultant doesn't spend time compiling it. Think of Seema as giving your consultant a 24/7 assistant across all 5 workflows.</w:t>
      </w:r>
    </w:p>
    <w:p>
      <w:pPr>
        <w:spacing w:after="320"/>
      </w:pPr>
      <w:r>
        <w:rPr>
          <w:rFonts w:ascii="Arial" w:hAnsi="Arial"/>
          <w:b/>
          <w:i w:val="0"/>
          <w:color w:val="0891B2"/>
          <w:sz w:val="20"/>
        </w:rPr>
        <w:t xml:space="preserve">PROOF POINT:  </w:t>
      </w:r>
      <w:r>
        <w:rPr>
          <w:rFonts w:ascii="Arial" w:hAnsi="Arial"/>
          <w:b w:val="0"/>
          <w:i/>
          <w:color w:val="64748B"/>
          <w:sz w:val="20"/>
        </w:rPr>
        <w:t>Consultants: £150–£300/hour. Seema: from £49/month. Complements, doesn't replace.</w:t>
      </w:r>
    </w:p>
    <w:p>
      <w:r>
        <w:br w:type="page"/>
      </w:r>
    </w:p>
    <w:p>
      <w:pPr>
        <w:pStyle w:val="Heading1"/>
      </w:pPr>
      <w:r>
        <w:rPr>
          <w:color w:val="1B2A4A"/>
        </w:rPr>
        <w:t>Quick Reference: Key Stats by Workflow</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B2A4A" w:val="clear"/>
            <w:tcMar>
              <w:top w:w="80" w:type="dxa"/>
              <w:bottom w:w="80" w:type="dxa"/>
              <w:left w:w="120" w:type="dxa"/>
              <w:right w:w="120" w:type="dxa"/>
            </w:tcMar>
          </w:tcPr>
          <w:p>
            <w:r/>
            <w:r>
              <w:rPr>
                <w:rFonts w:ascii="Arial" w:hAnsi="Arial"/>
                <w:b/>
                <w:i w:val="0"/>
                <w:color w:val="FFFFFF"/>
                <w:sz w:val="20"/>
              </w:rPr>
              <w:t>WORKFLOW</w:t>
            </w:r>
          </w:p>
        </w:tc>
        <w:tc>
          <w:tcPr>
            <w:tcW w:type="dxa" w:w="3600"/>
            <w:shd w:fill="1B2A4A" w:val="clear"/>
            <w:tcMar>
              <w:top w:w="80" w:type="dxa"/>
              <w:bottom w:w="80" w:type="dxa"/>
              <w:left w:w="120" w:type="dxa"/>
              <w:right w:w="120" w:type="dxa"/>
            </w:tcMar>
          </w:tcPr>
          <w:p>
            <w:r/>
            <w:r>
              <w:rPr>
                <w:rFonts w:ascii="Arial" w:hAnsi="Arial"/>
                <w:b/>
                <w:i w:val="0"/>
                <w:color w:val="FFFFFF"/>
                <w:sz w:val="20"/>
              </w:rPr>
              <w:t>METRIC</w:t>
            </w:r>
          </w:p>
        </w:tc>
        <w:tc>
          <w:tcPr>
            <w:tcW w:type="dxa" w:w="2880"/>
            <w:shd w:fill="1B2A4A" w:val="clear"/>
            <w:tcMar>
              <w:top w:w="80" w:type="dxa"/>
              <w:bottom w:w="80" w:type="dxa"/>
              <w:left w:w="120" w:type="dxa"/>
              <w:right w:w="120" w:type="dxa"/>
            </w:tcMar>
          </w:tcPr>
          <w:p>
            <w:r/>
            <w:r>
              <w:rPr>
                <w:rFonts w:ascii="Arial" w:hAnsi="Arial"/>
                <w:b/>
                <w:i w:val="0"/>
                <w:color w:val="FFFFFF"/>
                <w:sz w:val="20"/>
              </w:rPr>
              <w:t>VALUE</w:t>
            </w:r>
          </w:p>
        </w:tc>
      </w:tr>
      <w:tr>
        <w:tc>
          <w:tcPr>
            <w:tcW w:type="dxa" w:w="2880"/>
            <w:tcMar>
              <w:top w:w="80" w:type="dxa"/>
              <w:bottom w:w="80" w:type="dxa"/>
              <w:left w:w="120" w:type="dxa"/>
              <w:right w:w="120" w:type="dxa"/>
            </w:tcMar>
          </w:tcPr>
          <w:p>
            <w:r/>
            <w:r>
              <w:rPr>
                <w:rFonts w:ascii="Arial" w:hAnsi="Arial"/>
                <w:b/>
                <w:i w:val="0"/>
                <w:color w:val="0891B2"/>
                <w:sz w:val="18"/>
              </w:rPr>
              <w:t>DASHBOARD</w:t>
            </w:r>
          </w:p>
        </w:tc>
        <w:tc>
          <w:tcPr>
            <w:tcW w:type="dxa" w:w="3600"/>
            <w:tcMar>
              <w:top w:w="80" w:type="dxa"/>
              <w:bottom w:w="80" w:type="dxa"/>
              <w:left w:w="120" w:type="dxa"/>
              <w:right w:w="120" w:type="dxa"/>
            </w:tcMar>
          </w:tcPr>
          <w:p>
            <w:r/>
            <w:r>
              <w:rPr>
                <w:rFonts w:ascii="Arial" w:hAnsi="Arial"/>
                <w:b w:val="0"/>
                <w:i w:val="0"/>
                <w:color w:val="1E293B"/>
                <w:sz w:val="18"/>
              </w:rPr>
              <w:t>Real-time compliance health score</w:t>
            </w:r>
          </w:p>
        </w:tc>
        <w:tc>
          <w:tcPr>
            <w:tcW w:type="dxa" w:w="2880"/>
            <w:tcMar>
              <w:top w:w="80" w:type="dxa"/>
              <w:bottom w:w="80" w:type="dxa"/>
              <w:left w:w="120" w:type="dxa"/>
              <w:right w:w="120" w:type="dxa"/>
            </w:tcMar>
          </w:tcPr>
          <w:p>
            <w:r/>
            <w:r>
              <w:rPr>
                <w:rFonts w:ascii="Arial" w:hAnsi="Arial"/>
                <w:b/>
                <w:i w:val="0"/>
                <w:color w:val="1E293B"/>
                <w:sz w:val="18"/>
              </w:rPr>
              <w:t>Yes</w:t>
            </w:r>
          </w:p>
        </w:tc>
      </w:tr>
      <w:tr>
        <w:tc>
          <w:tcPr>
            <w:tcW w:type="dxa" w:w="2880"/>
            <w:tcMar>
              <w:top w:w="80" w:type="dxa"/>
              <w:bottom w:w="80" w:type="dxa"/>
              <w:left w:w="120" w:type="dxa"/>
              <w:right w:w="120" w:type="dxa"/>
            </w:tcMar>
          </w:tcPr>
          <w:p>
            <w:r/>
          </w:p>
        </w:tc>
        <w:tc>
          <w:tcPr>
            <w:tcW w:type="dxa" w:w="3600"/>
            <w:tcMar>
              <w:top w:w="80" w:type="dxa"/>
              <w:bottom w:w="80" w:type="dxa"/>
              <w:left w:w="120" w:type="dxa"/>
              <w:right w:w="120" w:type="dxa"/>
            </w:tcMar>
          </w:tcPr>
          <w:p>
            <w:r/>
            <w:r>
              <w:rPr>
                <w:rFonts w:ascii="Arial" w:hAnsi="Arial"/>
                <w:b w:val="0"/>
                <w:i w:val="0"/>
                <w:color w:val="1E293B"/>
                <w:sz w:val="18"/>
              </w:rPr>
              <w:t>Compliance modules</w:t>
            </w:r>
          </w:p>
        </w:tc>
        <w:tc>
          <w:tcPr>
            <w:tcW w:type="dxa" w:w="2880"/>
            <w:tcMar>
              <w:top w:w="80" w:type="dxa"/>
              <w:bottom w:w="80" w:type="dxa"/>
              <w:left w:w="120" w:type="dxa"/>
              <w:right w:w="120" w:type="dxa"/>
            </w:tcMar>
          </w:tcPr>
          <w:p>
            <w:r/>
            <w:r>
              <w:rPr>
                <w:rFonts w:ascii="Arial" w:hAnsi="Arial"/>
                <w:b/>
                <w:i w:val="0"/>
                <w:color w:val="1E293B"/>
                <w:sz w:val="18"/>
              </w:rPr>
              <w:t>21+</w:t>
            </w:r>
          </w:p>
        </w:tc>
      </w:tr>
      <w:tr>
        <w:tc>
          <w:tcPr>
            <w:tcW w:type="dxa" w:w="2880"/>
            <w:tcMar>
              <w:top w:w="80" w:type="dxa"/>
              <w:bottom w:w="80" w:type="dxa"/>
              <w:left w:w="120" w:type="dxa"/>
              <w:right w:w="120" w:type="dxa"/>
            </w:tcMar>
          </w:tcPr>
          <w:p>
            <w:r/>
          </w:p>
        </w:tc>
        <w:tc>
          <w:tcPr>
            <w:tcW w:type="dxa" w:w="3600"/>
            <w:tcMar>
              <w:top w:w="80" w:type="dxa"/>
              <w:bottom w:w="80" w:type="dxa"/>
              <w:left w:w="120" w:type="dxa"/>
              <w:right w:w="120" w:type="dxa"/>
            </w:tcMar>
          </w:tcPr>
          <w:p>
            <w:r/>
            <w:r>
              <w:rPr>
                <w:rFonts w:ascii="Arial" w:hAnsi="Arial"/>
                <w:b w:val="0"/>
                <w:i w:val="0"/>
                <w:color w:val="1E293B"/>
                <w:sz w:val="18"/>
              </w:rPr>
              <w:t>Automated background tasks</w:t>
            </w:r>
          </w:p>
        </w:tc>
        <w:tc>
          <w:tcPr>
            <w:tcW w:type="dxa" w:w="2880"/>
            <w:tcMar>
              <w:top w:w="80" w:type="dxa"/>
              <w:bottom w:w="80" w:type="dxa"/>
              <w:left w:w="120" w:type="dxa"/>
              <w:right w:w="120" w:type="dxa"/>
            </w:tcMar>
          </w:tcPr>
          <w:p>
            <w:r/>
            <w:r>
              <w:rPr>
                <w:rFonts w:ascii="Arial" w:hAnsi="Arial"/>
                <w:b/>
                <w:i w:val="0"/>
                <w:color w:val="1E293B"/>
                <w:sz w:val="18"/>
              </w:rPr>
              <w:t>20+ via Celery</w:t>
            </w:r>
          </w:p>
        </w:tc>
      </w:tr>
      <w:tr>
        <w:tc>
          <w:tcPr>
            <w:tcW w:type="dxa" w:w="2880"/>
            <w:tcMar>
              <w:top w:w="80" w:type="dxa"/>
              <w:bottom w:w="80" w:type="dxa"/>
              <w:left w:w="120" w:type="dxa"/>
              <w:right w:w="120" w:type="dxa"/>
            </w:tcMar>
          </w:tcPr>
          <w:p>
            <w:r/>
            <w:r>
              <w:rPr>
                <w:rFonts w:ascii="Arial" w:hAnsi="Arial"/>
                <w:b/>
                <w:i w:val="0"/>
                <w:color w:val="0891B2"/>
                <w:sz w:val="18"/>
              </w:rPr>
              <w:t>REGULATORY INTELLIGENCE</w:t>
            </w:r>
          </w:p>
        </w:tc>
        <w:tc>
          <w:tcPr>
            <w:tcW w:type="dxa" w:w="3600"/>
            <w:tcMar>
              <w:top w:w="80" w:type="dxa"/>
              <w:bottom w:w="80" w:type="dxa"/>
              <w:left w:w="120" w:type="dxa"/>
              <w:right w:w="120" w:type="dxa"/>
            </w:tcMar>
          </w:tcPr>
          <w:p>
            <w:r/>
            <w:r>
              <w:rPr>
                <w:rFonts w:ascii="Arial" w:hAnsi="Arial"/>
                <w:b w:val="0"/>
                <w:i w:val="0"/>
                <w:color w:val="1E293B"/>
                <w:sz w:val="18"/>
              </w:rPr>
              <w:t>Regulatory sources monitored</w:t>
            </w:r>
          </w:p>
        </w:tc>
        <w:tc>
          <w:tcPr>
            <w:tcW w:type="dxa" w:w="2880"/>
            <w:tcMar>
              <w:top w:w="80" w:type="dxa"/>
              <w:bottom w:w="80" w:type="dxa"/>
              <w:left w:w="120" w:type="dxa"/>
              <w:right w:w="120" w:type="dxa"/>
            </w:tcMar>
          </w:tcPr>
          <w:p>
            <w:r/>
            <w:r>
              <w:rPr>
                <w:rFonts w:ascii="Arial" w:hAnsi="Arial"/>
                <w:b/>
                <w:i w:val="0"/>
                <w:color w:val="1E293B"/>
                <w:sz w:val="18"/>
              </w:rPr>
              <w:t>5 (SRA, ICO, HMRC, Gov.UK, Law Society)</w:t>
            </w:r>
          </w:p>
        </w:tc>
      </w:tr>
      <w:tr>
        <w:tc>
          <w:tcPr>
            <w:tcW w:type="dxa" w:w="2880"/>
            <w:tcMar>
              <w:top w:w="80" w:type="dxa"/>
              <w:bottom w:w="80" w:type="dxa"/>
              <w:left w:w="120" w:type="dxa"/>
              <w:right w:w="120" w:type="dxa"/>
            </w:tcMar>
          </w:tcPr>
          <w:p>
            <w:r/>
          </w:p>
        </w:tc>
        <w:tc>
          <w:tcPr>
            <w:tcW w:type="dxa" w:w="3600"/>
            <w:tcMar>
              <w:top w:w="80" w:type="dxa"/>
              <w:bottom w:w="80" w:type="dxa"/>
              <w:left w:w="120" w:type="dxa"/>
              <w:right w:w="120" w:type="dxa"/>
            </w:tcMar>
          </w:tcPr>
          <w:p>
            <w:r/>
            <w:r>
              <w:rPr>
                <w:rFonts w:ascii="Arial" w:hAnsi="Arial"/>
                <w:b w:val="0"/>
                <w:i w:val="0"/>
                <w:color w:val="1E293B"/>
                <w:sz w:val="18"/>
              </w:rPr>
              <w:t>Scanning frequency</w:t>
            </w:r>
          </w:p>
        </w:tc>
        <w:tc>
          <w:tcPr>
            <w:tcW w:type="dxa" w:w="2880"/>
            <w:tcMar>
              <w:top w:w="80" w:type="dxa"/>
              <w:bottom w:w="80" w:type="dxa"/>
              <w:left w:w="120" w:type="dxa"/>
              <w:right w:w="120" w:type="dxa"/>
            </w:tcMar>
          </w:tcPr>
          <w:p>
            <w:r/>
            <w:r>
              <w:rPr>
                <w:rFonts w:ascii="Arial" w:hAnsi="Arial"/>
                <w:b/>
                <w:i w:val="0"/>
                <w:color w:val="1E293B"/>
                <w:sz w:val="18"/>
              </w:rPr>
              <w:t>Every 4 hours (30/day)</w:t>
            </w:r>
          </w:p>
        </w:tc>
      </w:tr>
      <w:tr>
        <w:tc>
          <w:tcPr>
            <w:tcW w:type="dxa" w:w="2880"/>
            <w:tcMar>
              <w:top w:w="80" w:type="dxa"/>
              <w:bottom w:w="80" w:type="dxa"/>
              <w:left w:w="120" w:type="dxa"/>
              <w:right w:w="120" w:type="dxa"/>
            </w:tcMar>
          </w:tcPr>
          <w:p>
            <w:r/>
          </w:p>
        </w:tc>
        <w:tc>
          <w:tcPr>
            <w:tcW w:type="dxa" w:w="3600"/>
            <w:tcMar>
              <w:top w:w="80" w:type="dxa"/>
              <w:bottom w:w="80" w:type="dxa"/>
              <w:left w:w="120" w:type="dxa"/>
              <w:right w:w="120" w:type="dxa"/>
            </w:tcMar>
          </w:tcPr>
          <w:p>
            <w:r/>
            <w:r>
              <w:rPr>
                <w:rFonts w:ascii="Arial" w:hAnsi="Arial"/>
                <w:b w:val="0"/>
                <w:i w:val="0"/>
                <w:color w:val="1E293B"/>
                <w:sz w:val="18"/>
              </w:rPr>
              <w:t>AI analysis</w:t>
            </w:r>
          </w:p>
        </w:tc>
        <w:tc>
          <w:tcPr>
            <w:tcW w:type="dxa" w:w="2880"/>
            <w:tcMar>
              <w:top w:w="80" w:type="dxa"/>
              <w:bottom w:w="80" w:type="dxa"/>
              <w:left w:w="120" w:type="dxa"/>
              <w:right w:w="120" w:type="dxa"/>
            </w:tcMar>
          </w:tcPr>
          <w:p>
            <w:r/>
            <w:r>
              <w:rPr>
                <w:rFonts w:ascii="Arial" w:hAnsi="Arial"/>
                <w:b/>
                <w:i w:val="0"/>
                <w:color w:val="1E293B"/>
                <w:sz w:val="18"/>
              </w:rPr>
              <w:t>Impact assessment per firm</w:t>
            </w:r>
          </w:p>
        </w:tc>
      </w:tr>
      <w:tr>
        <w:tc>
          <w:tcPr>
            <w:tcW w:type="dxa" w:w="2880"/>
            <w:tcMar>
              <w:top w:w="80" w:type="dxa"/>
              <w:bottom w:w="80" w:type="dxa"/>
              <w:left w:w="120" w:type="dxa"/>
              <w:right w:w="120" w:type="dxa"/>
            </w:tcMar>
          </w:tcPr>
          <w:p>
            <w:r/>
            <w:r>
              <w:rPr>
                <w:rFonts w:ascii="Arial" w:hAnsi="Arial"/>
                <w:b/>
                <w:i w:val="0"/>
                <w:color w:val="0891B2"/>
                <w:sz w:val="18"/>
              </w:rPr>
              <w:t>BREACH REPORTING</w:t>
            </w:r>
          </w:p>
        </w:tc>
        <w:tc>
          <w:tcPr>
            <w:tcW w:type="dxa" w:w="3600"/>
            <w:tcMar>
              <w:top w:w="80" w:type="dxa"/>
              <w:bottom w:w="80" w:type="dxa"/>
              <w:left w:w="120" w:type="dxa"/>
              <w:right w:w="120" w:type="dxa"/>
            </w:tcMar>
          </w:tcPr>
          <w:p>
            <w:r/>
            <w:r>
              <w:rPr>
                <w:rFonts w:ascii="Arial" w:hAnsi="Arial"/>
                <w:b w:val="0"/>
                <w:i w:val="0"/>
                <w:color w:val="1E293B"/>
                <w:sz w:val="18"/>
              </w:rPr>
              <w:t>ICO deadline auto-calculation</w:t>
            </w:r>
          </w:p>
        </w:tc>
        <w:tc>
          <w:tcPr>
            <w:tcW w:type="dxa" w:w="2880"/>
            <w:tcMar>
              <w:top w:w="80" w:type="dxa"/>
              <w:bottom w:w="80" w:type="dxa"/>
              <w:left w:w="120" w:type="dxa"/>
              <w:right w:w="120" w:type="dxa"/>
            </w:tcMar>
          </w:tcPr>
          <w:p>
            <w:r/>
            <w:r>
              <w:rPr>
                <w:rFonts w:ascii="Arial" w:hAnsi="Arial"/>
                <w:b/>
                <w:i w:val="0"/>
                <w:color w:val="1E293B"/>
                <w:sz w:val="18"/>
              </w:rPr>
              <w:t>72 hours (Article 33)</w:t>
            </w:r>
          </w:p>
        </w:tc>
      </w:tr>
      <w:tr>
        <w:tc>
          <w:tcPr>
            <w:tcW w:type="dxa" w:w="2880"/>
            <w:tcMar>
              <w:top w:w="80" w:type="dxa"/>
              <w:bottom w:w="80" w:type="dxa"/>
              <w:left w:w="120" w:type="dxa"/>
              <w:right w:w="120" w:type="dxa"/>
            </w:tcMar>
          </w:tcPr>
          <w:p>
            <w:r/>
          </w:p>
        </w:tc>
        <w:tc>
          <w:tcPr>
            <w:tcW w:type="dxa" w:w="3600"/>
            <w:tcMar>
              <w:top w:w="80" w:type="dxa"/>
              <w:bottom w:w="80" w:type="dxa"/>
              <w:left w:w="120" w:type="dxa"/>
              <w:right w:w="120" w:type="dxa"/>
            </w:tcMar>
          </w:tcPr>
          <w:p>
            <w:r/>
            <w:r>
              <w:rPr>
                <w:rFonts w:ascii="Arial" w:hAnsi="Arial"/>
                <w:b w:val="0"/>
                <w:i w:val="0"/>
                <w:color w:val="1E293B"/>
                <w:sz w:val="18"/>
              </w:rPr>
              <w:t>COLP email alerts</w:t>
            </w:r>
          </w:p>
        </w:tc>
        <w:tc>
          <w:tcPr>
            <w:tcW w:type="dxa" w:w="2880"/>
            <w:tcMar>
              <w:top w:w="80" w:type="dxa"/>
              <w:bottom w:w="80" w:type="dxa"/>
              <w:left w:w="120" w:type="dxa"/>
              <w:right w:w="120" w:type="dxa"/>
            </w:tcMar>
          </w:tcPr>
          <w:p>
            <w:r/>
            <w:r>
              <w:rPr>
                <w:rFonts w:ascii="Arial" w:hAnsi="Arial"/>
                <w:b/>
                <w:i w:val="0"/>
                <w:color w:val="1E293B"/>
                <w:sz w:val="18"/>
              </w:rPr>
              <w:t>Automatic on breach creation</w:t>
            </w:r>
          </w:p>
        </w:tc>
      </w:tr>
      <w:tr>
        <w:tc>
          <w:tcPr>
            <w:tcW w:type="dxa" w:w="2880"/>
            <w:tcMar>
              <w:top w:w="80" w:type="dxa"/>
              <w:bottom w:w="80" w:type="dxa"/>
              <w:left w:w="120" w:type="dxa"/>
              <w:right w:w="120" w:type="dxa"/>
            </w:tcMar>
          </w:tcPr>
          <w:p>
            <w:r/>
          </w:p>
        </w:tc>
        <w:tc>
          <w:tcPr>
            <w:tcW w:type="dxa" w:w="3600"/>
            <w:tcMar>
              <w:top w:w="80" w:type="dxa"/>
              <w:bottom w:w="80" w:type="dxa"/>
              <w:left w:w="120" w:type="dxa"/>
              <w:right w:w="120" w:type="dxa"/>
            </w:tcMar>
          </w:tcPr>
          <w:p>
            <w:r/>
            <w:r>
              <w:rPr>
                <w:rFonts w:ascii="Arial" w:hAnsi="Arial"/>
                <w:b w:val="0"/>
                <w:i w:val="0"/>
                <w:color w:val="1E293B"/>
                <w:sz w:val="18"/>
              </w:rPr>
              <w:t>AI breach analysis</w:t>
            </w:r>
          </w:p>
        </w:tc>
        <w:tc>
          <w:tcPr>
            <w:tcW w:type="dxa" w:w="2880"/>
            <w:tcMar>
              <w:top w:w="80" w:type="dxa"/>
              <w:bottom w:w="80" w:type="dxa"/>
              <w:left w:w="120" w:type="dxa"/>
              <w:right w:w="120" w:type="dxa"/>
            </w:tcMar>
          </w:tcPr>
          <w:p>
            <w:r/>
            <w:r>
              <w:rPr>
                <w:rFonts w:ascii="Arial" w:hAnsi="Arial"/>
                <w:b/>
                <w:i w:val="0"/>
                <w:color w:val="1E293B"/>
                <w:sz w:val="18"/>
              </w:rPr>
              <w:t>ICO assessment + remediation plan</w:t>
            </w:r>
          </w:p>
        </w:tc>
      </w:tr>
      <w:tr>
        <w:tc>
          <w:tcPr>
            <w:tcW w:type="dxa" w:w="2880"/>
            <w:tcMar>
              <w:top w:w="80" w:type="dxa"/>
              <w:bottom w:w="80" w:type="dxa"/>
              <w:left w:w="120" w:type="dxa"/>
              <w:right w:w="120" w:type="dxa"/>
            </w:tcMar>
          </w:tcPr>
          <w:p>
            <w:r/>
            <w:r>
              <w:rPr>
                <w:rFonts w:ascii="Arial" w:hAnsi="Arial"/>
                <w:b/>
                <w:i w:val="0"/>
                <w:color w:val="0891B2"/>
                <w:sz w:val="18"/>
              </w:rPr>
              <w:t>SRA AUDIT WORKFLOW</w:t>
            </w:r>
          </w:p>
        </w:tc>
        <w:tc>
          <w:tcPr>
            <w:tcW w:type="dxa" w:w="3600"/>
            <w:tcMar>
              <w:top w:w="80" w:type="dxa"/>
              <w:bottom w:w="80" w:type="dxa"/>
              <w:left w:w="120" w:type="dxa"/>
              <w:right w:w="120" w:type="dxa"/>
            </w:tcMar>
          </w:tcPr>
          <w:p>
            <w:r/>
            <w:r>
              <w:rPr>
                <w:rFonts w:ascii="Arial" w:hAnsi="Arial"/>
                <w:b w:val="0"/>
                <w:i w:val="0"/>
                <w:color w:val="1E293B"/>
                <w:sz w:val="18"/>
              </w:rPr>
              <w:t>Annual return prep</w:t>
            </w:r>
          </w:p>
        </w:tc>
        <w:tc>
          <w:tcPr>
            <w:tcW w:type="dxa" w:w="2880"/>
            <w:tcMar>
              <w:top w:w="80" w:type="dxa"/>
              <w:bottom w:w="80" w:type="dxa"/>
              <w:left w:w="120" w:type="dxa"/>
              <w:right w:w="120" w:type="dxa"/>
            </w:tcMar>
          </w:tcPr>
          <w:p>
            <w:r/>
            <w:r>
              <w:rPr>
                <w:rFonts w:ascii="Arial" w:hAnsi="Arial"/>
                <w:b/>
                <w:i w:val="0"/>
                <w:color w:val="1E293B"/>
                <w:sz w:val="18"/>
              </w:rPr>
              <w:t>Pre-populated from year data</w:t>
            </w:r>
          </w:p>
        </w:tc>
      </w:tr>
      <w:tr>
        <w:tc>
          <w:tcPr>
            <w:tcW w:type="dxa" w:w="2880"/>
            <w:tcMar>
              <w:top w:w="80" w:type="dxa"/>
              <w:bottom w:w="80" w:type="dxa"/>
              <w:left w:w="120" w:type="dxa"/>
              <w:right w:w="120" w:type="dxa"/>
            </w:tcMar>
          </w:tcPr>
          <w:p>
            <w:r/>
          </w:p>
        </w:tc>
        <w:tc>
          <w:tcPr>
            <w:tcW w:type="dxa" w:w="3600"/>
            <w:tcMar>
              <w:top w:w="80" w:type="dxa"/>
              <w:bottom w:w="80" w:type="dxa"/>
              <w:left w:w="120" w:type="dxa"/>
              <w:right w:w="120" w:type="dxa"/>
            </w:tcMar>
          </w:tcPr>
          <w:p>
            <w:r/>
            <w:r>
              <w:rPr>
                <w:rFonts w:ascii="Arial" w:hAnsi="Arial"/>
                <w:b w:val="0"/>
                <w:i w:val="0"/>
                <w:color w:val="1E293B"/>
                <w:sz w:val="18"/>
              </w:rPr>
              <w:t>Audit trail</w:t>
            </w:r>
          </w:p>
        </w:tc>
        <w:tc>
          <w:tcPr>
            <w:tcW w:type="dxa" w:w="2880"/>
            <w:tcMar>
              <w:top w:w="80" w:type="dxa"/>
              <w:bottom w:w="80" w:type="dxa"/>
              <w:left w:w="120" w:type="dxa"/>
              <w:right w:w="120" w:type="dxa"/>
            </w:tcMar>
          </w:tcPr>
          <w:p>
            <w:r/>
            <w:r>
              <w:rPr>
                <w:rFonts w:ascii="Arial" w:hAnsi="Arial"/>
                <w:b/>
                <w:i w:val="0"/>
                <w:color w:val="1E293B"/>
                <w:sz w:val="18"/>
              </w:rPr>
              <w:t>Tamper-proof, timestamped</w:t>
            </w:r>
          </w:p>
        </w:tc>
      </w:tr>
      <w:tr>
        <w:tc>
          <w:tcPr>
            <w:tcW w:type="dxa" w:w="2880"/>
            <w:tcMar>
              <w:top w:w="80" w:type="dxa"/>
              <w:bottom w:w="80" w:type="dxa"/>
              <w:left w:w="120" w:type="dxa"/>
              <w:right w:w="120" w:type="dxa"/>
            </w:tcMar>
          </w:tcPr>
          <w:p>
            <w:r/>
          </w:p>
        </w:tc>
        <w:tc>
          <w:tcPr>
            <w:tcW w:type="dxa" w:w="3600"/>
            <w:tcMar>
              <w:top w:w="80" w:type="dxa"/>
              <w:bottom w:w="80" w:type="dxa"/>
              <w:left w:w="120" w:type="dxa"/>
              <w:right w:w="120" w:type="dxa"/>
            </w:tcMar>
          </w:tcPr>
          <w:p>
            <w:r/>
            <w:r>
              <w:rPr>
                <w:rFonts w:ascii="Arial" w:hAnsi="Arial"/>
                <w:b w:val="0"/>
                <w:i w:val="0"/>
                <w:color w:val="1E293B"/>
                <w:sz w:val="18"/>
              </w:rPr>
              <w:t>Time saved per annual cycle</w:t>
            </w:r>
          </w:p>
        </w:tc>
        <w:tc>
          <w:tcPr>
            <w:tcW w:type="dxa" w:w="2880"/>
            <w:tcMar>
              <w:top w:w="80" w:type="dxa"/>
              <w:bottom w:w="80" w:type="dxa"/>
              <w:left w:w="120" w:type="dxa"/>
              <w:right w:w="120" w:type="dxa"/>
            </w:tcMar>
          </w:tcPr>
          <w:p>
            <w:r/>
            <w:r>
              <w:rPr>
                <w:rFonts w:ascii="Arial" w:hAnsi="Arial"/>
                <w:b/>
                <w:i w:val="0"/>
                <w:color w:val="1E293B"/>
                <w:sz w:val="18"/>
              </w:rPr>
              <w:t>2-3 days</w:t>
            </w:r>
          </w:p>
        </w:tc>
      </w:tr>
      <w:tr>
        <w:tc>
          <w:tcPr>
            <w:tcW w:type="dxa" w:w="2880"/>
            <w:tcMar>
              <w:top w:w="80" w:type="dxa"/>
              <w:bottom w:w="80" w:type="dxa"/>
              <w:left w:w="120" w:type="dxa"/>
              <w:right w:w="120" w:type="dxa"/>
            </w:tcMar>
          </w:tcPr>
          <w:p>
            <w:r/>
            <w:r>
              <w:rPr>
                <w:rFonts w:ascii="Arial" w:hAnsi="Arial"/>
                <w:b/>
                <w:i w:val="0"/>
                <w:color w:val="0891B2"/>
                <w:sz w:val="18"/>
              </w:rPr>
              <w:t>POLICY MANAGEMENT</w:t>
            </w:r>
          </w:p>
        </w:tc>
        <w:tc>
          <w:tcPr>
            <w:tcW w:type="dxa" w:w="3600"/>
            <w:tcMar>
              <w:top w:w="80" w:type="dxa"/>
              <w:bottom w:w="80" w:type="dxa"/>
              <w:left w:w="120" w:type="dxa"/>
              <w:right w:w="120" w:type="dxa"/>
            </w:tcMar>
          </w:tcPr>
          <w:p>
            <w:r/>
            <w:r>
              <w:rPr>
                <w:rFonts w:ascii="Arial" w:hAnsi="Arial"/>
                <w:b w:val="0"/>
                <w:i w:val="0"/>
                <w:color w:val="1E293B"/>
                <w:sz w:val="18"/>
              </w:rPr>
              <w:t>Policy categories</w:t>
            </w:r>
          </w:p>
        </w:tc>
        <w:tc>
          <w:tcPr>
            <w:tcW w:type="dxa" w:w="2880"/>
            <w:tcMar>
              <w:top w:w="80" w:type="dxa"/>
              <w:bottom w:w="80" w:type="dxa"/>
              <w:left w:w="120" w:type="dxa"/>
              <w:right w:w="120" w:type="dxa"/>
            </w:tcMar>
          </w:tcPr>
          <w:p>
            <w:r/>
            <w:r>
              <w:rPr>
                <w:rFonts w:ascii="Arial" w:hAnsi="Arial"/>
                <w:b/>
                <w:i w:val="0"/>
                <w:color w:val="1E293B"/>
                <w:sz w:val="18"/>
              </w:rPr>
              <w:t>6 (AML, GDPR, Equality, Bribery, Complaints, InfoSec)</w:t>
            </w:r>
          </w:p>
        </w:tc>
      </w:tr>
      <w:tr>
        <w:tc>
          <w:tcPr>
            <w:tcW w:type="dxa" w:w="2880"/>
            <w:tcMar>
              <w:top w:w="80" w:type="dxa"/>
              <w:bottom w:w="80" w:type="dxa"/>
              <w:left w:w="120" w:type="dxa"/>
              <w:right w:w="120" w:type="dxa"/>
            </w:tcMar>
          </w:tcPr>
          <w:p>
            <w:r/>
          </w:p>
        </w:tc>
        <w:tc>
          <w:tcPr>
            <w:tcW w:type="dxa" w:w="3600"/>
            <w:tcMar>
              <w:top w:w="80" w:type="dxa"/>
              <w:bottom w:w="80" w:type="dxa"/>
              <w:left w:w="120" w:type="dxa"/>
              <w:right w:w="120" w:type="dxa"/>
            </w:tcMar>
          </w:tcPr>
          <w:p>
            <w:r/>
            <w:r>
              <w:rPr>
                <w:rFonts w:ascii="Arial" w:hAnsi="Arial"/>
                <w:b w:val="0"/>
                <w:i w:val="0"/>
                <w:color w:val="1E293B"/>
                <w:sz w:val="18"/>
              </w:rPr>
              <w:t>AI generation</w:t>
            </w:r>
          </w:p>
        </w:tc>
        <w:tc>
          <w:tcPr>
            <w:tcW w:type="dxa" w:w="2880"/>
            <w:tcMar>
              <w:top w:w="80" w:type="dxa"/>
              <w:bottom w:w="80" w:type="dxa"/>
              <w:left w:w="120" w:type="dxa"/>
              <w:right w:w="120" w:type="dxa"/>
            </w:tcMar>
          </w:tcPr>
          <w:p>
            <w:r/>
            <w:r>
              <w:rPr>
                <w:rFonts w:ascii="Arial" w:hAnsi="Arial"/>
                <w:b/>
                <w:i w:val="0"/>
                <w:color w:val="1E293B"/>
                <w:sz w:val="18"/>
              </w:rPr>
              <w:t>With UK regulatory references</w:t>
            </w:r>
          </w:p>
        </w:tc>
      </w:tr>
      <w:tr>
        <w:tc>
          <w:tcPr>
            <w:tcW w:type="dxa" w:w="2880"/>
            <w:tcMar>
              <w:top w:w="80" w:type="dxa"/>
              <w:bottom w:w="80" w:type="dxa"/>
              <w:left w:w="120" w:type="dxa"/>
              <w:right w:w="120" w:type="dxa"/>
            </w:tcMar>
          </w:tcPr>
          <w:p>
            <w:r/>
          </w:p>
        </w:tc>
        <w:tc>
          <w:tcPr>
            <w:tcW w:type="dxa" w:w="3600"/>
            <w:tcMar>
              <w:top w:w="80" w:type="dxa"/>
              <w:bottom w:w="80" w:type="dxa"/>
              <w:left w:w="120" w:type="dxa"/>
              <w:right w:w="120" w:type="dxa"/>
            </w:tcMar>
          </w:tcPr>
          <w:p>
            <w:r/>
            <w:r>
              <w:rPr>
                <w:rFonts w:ascii="Arial" w:hAnsi="Arial"/>
                <w:b w:val="0"/>
                <w:i w:val="0"/>
                <w:color w:val="1E293B"/>
                <w:sz w:val="18"/>
              </w:rPr>
              <w:t>Review tracking</w:t>
            </w:r>
          </w:p>
        </w:tc>
        <w:tc>
          <w:tcPr>
            <w:tcW w:type="dxa" w:w="2880"/>
            <w:tcMar>
              <w:top w:w="80" w:type="dxa"/>
              <w:bottom w:w="80" w:type="dxa"/>
              <w:left w:w="120" w:type="dxa"/>
              <w:right w:w="120" w:type="dxa"/>
            </w:tcMar>
          </w:tcPr>
          <w:p>
            <w:r/>
            <w:r>
              <w:rPr>
                <w:rFonts w:ascii="Arial" w:hAnsi="Arial"/>
                <w:b/>
                <w:i w:val="0"/>
                <w:color w:val="1E293B"/>
                <w:sz w:val="18"/>
              </w:rPr>
              <w:t>Automatic reminders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