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color w:val="2563EB"/>
          <w:sz w:val="84"/>
        </w:rPr>
        <w:t>SEEMA</w:t>
      </w:r>
    </w:p>
    <w:p>
      <w:pPr>
        <w:spacing w:after="400"/>
        <w:jc w:val="center"/>
      </w:pPr>
      <w:r>
        <w:rPr>
          <w:b/>
          <w:color w:val="1A1A2E"/>
          <w:sz w:val="40"/>
        </w:rPr>
        <w:t>Product Requirements Document</w:t>
      </w:r>
    </w:p>
    <w:p>
      <w:pPr>
        <w:spacing w:after="800"/>
        <w:jc w:val="center"/>
      </w:pPr>
      <w:r>
        <w:rPr>
          <w:b w:val="0"/>
          <w:color w:val="666666"/>
          <w:sz w:val="28"/>
        </w:rPr>
        <w:t>AI-Powered Compliance Operating System</w:t>
        <w:br/>
        <w:t>for SRA-Regulated UK Law Firms</w:t>
      </w:r>
    </w:p>
    <w:p>
      <w:pPr>
        <w:spacing w:after="120"/>
        <w:jc w:val="center"/>
      </w:pPr>
      <w:r>
        <w:rPr>
          <w:b w:val="0"/>
          <w:color w:val="666666"/>
          <w:sz w:val="22"/>
        </w:rPr>
        <w:t>Version 1.0  |  April 2026</w:t>
      </w:r>
    </w:p>
    <w:p>
      <w:pPr>
        <w:spacing w:after="1200"/>
        <w:jc w:val="center"/>
      </w:pPr>
      <w:r>
        <w:rPr>
          <w:b w:val="0"/>
          <w:color w:val="666666"/>
          <w:sz w:val="22"/>
        </w:rPr>
        <w:t>Classification: Confidential</w:t>
      </w:r>
    </w:p>
    <w:p>
      <w:pPr>
        <w:spacing w:after="80"/>
        <w:jc w:val="center"/>
      </w:pPr>
      <w:r>
        <w:rPr>
          <w:b w:val="0"/>
          <w:color w:val="1A1A2E"/>
          <w:sz w:val="24"/>
        </w:rPr>
        <w:t>Prepared for: Development Team</w:t>
      </w:r>
    </w:p>
    <w:p>
      <w:pPr>
        <w:spacing w:after="120"/>
        <w:jc w:val="center"/>
      </w:pPr>
      <w:r>
        <w:rPr>
          <w:b w:val="0"/>
          <w:color w:val="1A1A2E"/>
          <w:sz w:val="24"/>
        </w:rPr>
        <w:t>Prepared by: Sardar (Product Owner)</w:t>
      </w:r>
    </w:p>
    <w:p>
      <w:r>
        <w:br w:type="page"/>
      </w:r>
    </w:p>
    <w:p>
      <w:pPr>
        <w:pStyle w:val="Heading1"/>
      </w:pPr>
      <w:r>
        <w:t>Table of Contents</w:t>
      </w:r>
    </w:p>
    <w:p>
      <w:pPr>
        <w:spacing w:after="80"/>
      </w:pPr>
      <w:r>
        <w:rPr>
          <w:sz w:val="22"/>
        </w:rPr>
        <w:t>1.  Executive Summary</w:t>
      </w:r>
    </w:p>
    <w:p>
      <w:pPr>
        <w:spacing w:after="80"/>
      </w:pPr>
      <w:r>
        <w:rPr>
          <w:sz w:val="22"/>
        </w:rPr>
        <w:t>2.  Product Overview</w:t>
      </w:r>
    </w:p>
    <w:p>
      <w:pPr>
        <w:spacing w:after="80"/>
      </w:pPr>
      <w:r>
        <w:rPr>
          <w:sz w:val="22"/>
        </w:rPr>
        <w:t>3.  Target Users &amp; Personas</w:t>
      </w:r>
    </w:p>
    <w:p>
      <w:pPr>
        <w:spacing w:after="80"/>
      </w:pPr>
      <w:r>
        <w:rPr>
          <w:sz w:val="22"/>
        </w:rPr>
        <w:t>4.  System Architecture</w:t>
      </w:r>
    </w:p>
    <w:p>
      <w:pPr>
        <w:spacing w:after="80"/>
      </w:pPr>
      <w:r>
        <w:rPr>
          <w:sz w:val="22"/>
        </w:rPr>
        <w:t>5.  Technology Stack</w:t>
      </w:r>
    </w:p>
    <w:p>
      <w:pPr>
        <w:spacing w:after="80"/>
      </w:pPr>
      <w:r>
        <w:rPr>
          <w:sz w:val="22"/>
        </w:rPr>
        <w:t>6.  Database Schema</w:t>
      </w:r>
    </w:p>
    <w:p>
      <w:pPr>
        <w:spacing w:after="80"/>
      </w:pPr>
      <w:r>
        <w:rPr>
          <w:sz w:val="22"/>
        </w:rPr>
        <w:t>7.  Backend API</w:t>
      </w:r>
    </w:p>
    <w:p>
      <w:pPr>
        <w:spacing w:after="80"/>
      </w:pPr>
      <w:r>
        <w:rPr>
          <w:sz w:val="22"/>
        </w:rPr>
        <w:t>8.  Frontend Application</w:t>
      </w:r>
    </w:p>
    <w:p>
      <w:pPr>
        <w:spacing w:after="80"/>
      </w:pPr>
      <w:r>
        <w:rPr>
          <w:sz w:val="22"/>
        </w:rPr>
        <w:t>9.  Core Services</w:t>
      </w:r>
    </w:p>
    <w:p>
      <w:pPr>
        <w:spacing w:after="80"/>
      </w:pPr>
      <w:r>
        <w:rPr>
          <w:sz w:val="22"/>
        </w:rPr>
        <w:t>10.  Authentication &amp; Authorisation</w:t>
      </w:r>
    </w:p>
    <w:p>
      <w:pPr>
        <w:spacing w:after="80"/>
      </w:pPr>
      <w:r>
        <w:rPr>
          <w:sz w:val="22"/>
        </w:rPr>
        <w:t>11.  Multi-Tenancy &amp; Data Isolation</w:t>
      </w:r>
    </w:p>
    <w:p>
      <w:pPr>
        <w:spacing w:after="80"/>
      </w:pPr>
      <w:r>
        <w:rPr>
          <w:sz w:val="22"/>
        </w:rPr>
        <w:t>12.  Third-Party Integrations</w:t>
      </w:r>
    </w:p>
    <w:p>
      <w:pPr>
        <w:spacing w:after="80"/>
      </w:pPr>
      <w:r>
        <w:rPr>
          <w:sz w:val="22"/>
        </w:rPr>
        <w:t>13.  Deployment &amp; Infrastructure</w:t>
      </w:r>
    </w:p>
    <w:p>
      <w:pPr>
        <w:spacing w:after="80"/>
      </w:pPr>
      <w:r>
        <w:rPr>
          <w:sz w:val="22"/>
        </w:rPr>
        <w:t>14.  Environment Variables</w:t>
      </w:r>
    </w:p>
    <w:p>
      <w:pPr>
        <w:spacing w:after="80"/>
      </w:pPr>
      <w:r>
        <w:rPr>
          <w:sz w:val="22"/>
        </w:rPr>
        <w:t>15.  Developer Setup Guide</w:t>
      </w:r>
    </w:p>
    <w:p>
      <w:pPr>
        <w:spacing w:after="80"/>
      </w:pPr>
      <w:r>
        <w:rPr>
          <w:sz w:val="22"/>
        </w:rPr>
        <w:t>16.  Production Readiness Checklist</w:t>
      </w:r>
    </w:p>
    <w:p>
      <w:pPr>
        <w:spacing w:after="80"/>
      </w:pPr>
      <w:r>
        <w:rPr>
          <w:sz w:val="22"/>
        </w:rPr>
        <w:t>17.  Pricing &amp; Subscription Tiers</w:t>
      </w:r>
    </w:p>
    <w:p>
      <w:pPr>
        <w:spacing w:after="80"/>
      </w:pPr>
      <w:r>
        <w:rPr>
          <w:sz w:val="22"/>
        </w:rPr>
        <w:t>18.  Future Roadmap</w:t>
      </w:r>
    </w:p>
    <w:p>
      <w:r>
        <w:br w:type="page"/>
      </w:r>
    </w:p>
    <w:p>
      <w:pPr>
        <w:pStyle w:val="Heading1"/>
      </w:pPr>
      <w:r>
        <w:t>1. Executive Summary</w:t>
      </w:r>
    </w:p>
    <w:p>
      <w:r>
        <w:t>Seema is an AI-powered compliance operating system purpose-built for SRA-regulated UK law firms. It automates the day-to-day compliance workload that falls on the Compliance Officer for Legal Practice (COLP), replacing spreadsheets, manual chasing, and ad-hoc processes with a unified platform that monitors, alerts, and reports in real time.</w:t>
      </w:r>
    </w:p>
    <w:p>
      <w:r>
        <w:t>The platform covers the full compliance lifecycle: staff training tracking, client intake and CDD (Customer Due Diligence), regulatory monitoring with AI-powered impact analysis, automated chaser emails, breach logging and ICO reporting, supervision scheduling, policy management, evidence storage, audit trails, and SRA annual return preparation.</w:t>
      </w:r>
    </w:p>
    <w:p>
      <w:r>
        <w:t>Seema is a multi-tenant SaaS application. Each law firm operates in a fully isolated data environment. The backend is built on FastAPI (Python) with PostgreSQL, the frontend on Next.js 14 (TypeScript), and the system deploys via Docker Compose with Nginx reverse proxy.</w:t>
      </w:r>
    </w:p>
    <w:p>
      <w:pPr>
        <w:pStyle w:val="Heading3"/>
      </w:pPr>
      <w:r>
        <w:t>Key Differentiators</w:t>
      </w:r>
    </w:p>
    <w:p>
      <w:pPr>
        <w:pStyle w:val="ListBullet"/>
      </w:pPr>
      <w:r>
        <w:t>All-in-one COLP platform — replaces 3-4 separate tools plus manual spreadsheets</w:t>
      </w:r>
    </w:p>
    <w:p>
      <w:pPr>
        <w:pStyle w:val="ListBullet"/>
      </w:pPr>
      <w:r>
        <w:t>AI-powered regulatory analysis — Claude analyses new SRA/ICO/FCA updates and produces firm-specific impact assessments</w:t>
      </w:r>
    </w:p>
    <w:p>
      <w:pPr>
        <w:pStyle w:val="ListBullet"/>
      </w:pPr>
      <w:r>
        <w:t>Automated chase engine — daily Celery task scans for overdue items and sends branded emails with escalation to COLP</w:t>
      </w:r>
    </w:p>
    <w:p>
      <w:pPr>
        <w:pStyle w:val="ListBullet"/>
      </w:pPr>
      <w:r>
        <w:t>Multi-tenant by design — every database query is tenant-filtered via middleware, zero risk of cross-firm data leakage</w:t>
      </w:r>
    </w:p>
    <w:p>
      <w:pPr>
        <w:pStyle w:val="ListBullet"/>
      </w:pPr>
      <w:r>
        <w:t>SRA return auto-generation — aggregates compliance data into pre-filled SRA annual return format</w:t>
      </w:r>
    </w:p>
    <w:p>
      <w:r>
        <w:br w:type="page"/>
      </w:r>
    </w:p>
    <w:p>
      <w:pPr>
        <w:pStyle w:val="Heading1"/>
      </w:pPr>
      <w:r>
        <w:t>2. Product Overview</w:t>
      </w:r>
    </w:p>
    <w:p>
      <w:pPr>
        <w:pStyle w:val="Heading2"/>
      </w:pPr>
      <w:r>
        <w:t>2.1 Problem Statement</w:t>
      </w:r>
    </w:p>
    <w:p>
      <w:r>
        <w:t>COLPs at UK law firms are personally liable for regulatory compliance. They manage training records, client due diligence, breach reporting, policy reviews, supervision schedules, and SRA returns — largely through spreadsheets, email chains, and manual processes. This is error-prone, time-consuming, and risky. A missed deadline or unreported breach can result in SRA investigation, fines, or loss of practising certificate.</w:t>
      </w:r>
    </w:p>
    <w:p>
      <w:pPr>
        <w:pStyle w:val="Heading2"/>
      </w:pPr>
      <w:r>
        <w:t>2.2 Solution</w:t>
      </w:r>
    </w:p>
    <w:p>
      <w:r>
        <w:t>Seema centralises all COLP operations into a single web application. It actively monitors compliance status, sends automated reminders, analyses regulatory changes using AI, and generates audit-ready reports. The COLP gets a real-time dashboard showing exactly what needs attention, rather than discovering problems after they become serious.</w:t>
      </w:r>
    </w:p>
    <w:p>
      <w:pPr>
        <w:pStyle w:val="Heading2"/>
      </w:pPr>
      <w:r>
        <w:t>2.3 Core Modules</w:t>
      </w:r>
    </w:p>
    <w:tbl>
      <w:tblPr>
        <w:tblStyle w:val="TableGrid"/>
        <w:tblW w:type="auto" w:w="0"/>
        <w:jc w:val="center"/>
        <w:tblLook w:firstColumn="1" w:firstRow="1" w:lastColumn="0" w:lastRow="0" w:noHBand="0" w:noVBand="1" w:val="04A0"/>
      </w:tblPr>
      <w:tblGrid>
        <w:gridCol w:w="4680"/>
        <w:gridCol w:w="4680"/>
      </w:tblGrid>
      <w:tr>
        <w:tc>
          <w:tcPr>
            <w:tcW w:type="dxa" w:w="2880"/>
            <w:shd w:fill="1a1a2e" w:color="auto" w:val="clear"/>
          </w:tcPr>
          <w:p>
            <w:r/>
            <w:r>
              <w:rPr>
                <w:rFonts w:ascii="Arial" w:hAnsi="Arial"/>
                <w:b/>
                <w:color w:val="FFFFFF"/>
                <w:sz w:val="20"/>
              </w:rPr>
              <w:t>Module</w:t>
            </w:r>
          </w:p>
        </w:tc>
        <w:tc>
          <w:tcPr>
            <w:tcW w:type="dxa" w:w="6480"/>
            <w:shd w:fill="1a1a2e" w:color="auto" w:val="clear"/>
          </w:tcPr>
          <w:p>
            <w:r/>
            <w:r>
              <w:rPr>
                <w:rFonts w:ascii="Arial" w:hAnsi="Arial"/>
                <w:b/>
                <w:color w:val="FFFFFF"/>
                <w:sz w:val="20"/>
              </w:rPr>
              <w:t>Description</w:t>
            </w:r>
          </w:p>
        </w:tc>
      </w:tr>
      <w:tr>
        <w:tc>
          <w:tcPr>
            <w:tcW w:type="dxa" w:w="2880"/>
          </w:tcPr>
          <w:p>
            <w:r/>
            <w:r>
              <w:rPr>
                <w:rFonts w:ascii="Arial" w:hAnsi="Arial"/>
                <w:sz w:val="20"/>
              </w:rPr>
              <w:t>Dashboard &amp; Briefing</w:t>
            </w:r>
          </w:p>
        </w:tc>
        <w:tc>
          <w:tcPr>
            <w:tcW w:type="dxa" w:w="6480"/>
          </w:tcPr>
          <w:p>
            <w:r/>
            <w:r>
              <w:rPr>
                <w:rFonts w:ascii="Arial" w:hAnsi="Arial"/>
                <w:sz w:val="20"/>
              </w:rPr>
              <w:t>Real-time compliance health score, daily briefing with prioritised action items, regulatory feed</w:t>
            </w:r>
          </w:p>
        </w:tc>
      </w:tr>
      <w:tr>
        <w:tc>
          <w:tcPr>
            <w:tcW w:type="dxa" w:w="2880"/>
          </w:tcPr>
          <w:p>
            <w:r/>
            <w:r>
              <w:rPr>
                <w:rFonts w:ascii="Arial" w:hAnsi="Arial"/>
                <w:sz w:val="20"/>
              </w:rPr>
              <w:t>Staff Management</w:t>
            </w:r>
          </w:p>
        </w:tc>
        <w:tc>
          <w:tcPr>
            <w:tcW w:type="dxa" w:w="6480"/>
          </w:tcPr>
          <w:p>
            <w:r/>
            <w:r>
              <w:rPr>
                <w:rFonts w:ascii="Arial" w:hAnsi="Arial"/>
                <w:sz w:val="20"/>
              </w:rPr>
              <w:t>Staff directory, training tracking (CPD hours, expiry dates), file review assignments, performance monitoring</w:t>
            </w:r>
          </w:p>
        </w:tc>
      </w:tr>
      <w:tr>
        <w:tc>
          <w:tcPr>
            <w:tcW w:type="dxa" w:w="2880"/>
          </w:tcPr>
          <w:p>
            <w:r/>
            <w:r>
              <w:rPr>
                <w:rFonts w:ascii="Arial" w:hAnsi="Arial"/>
                <w:sz w:val="20"/>
              </w:rPr>
              <w:t>Client Intake &amp; CDD</w:t>
            </w:r>
          </w:p>
        </w:tc>
        <w:tc>
          <w:tcPr>
            <w:tcW w:type="dxa" w:w="6480"/>
          </w:tcPr>
          <w:p>
            <w:r/>
            <w:r>
              <w:rPr>
                <w:rFonts w:ascii="Arial" w:hAnsi="Arial"/>
                <w:sz w:val="20"/>
              </w:rPr>
              <w:t>Risk-scored client onboarding, PEP/sanctions screening, source of funds verification, CDD checklists</w:t>
            </w:r>
          </w:p>
        </w:tc>
      </w:tr>
      <w:tr>
        <w:tc>
          <w:tcPr>
            <w:tcW w:type="dxa" w:w="2880"/>
          </w:tcPr>
          <w:p>
            <w:r/>
            <w:r>
              <w:rPr>
                <w:rFonts w:ascii="Arial" w:hAnsi="Arial"/>
                <w:sz w:val="20"/>
              </w:rPr>
              <w:t>Regulatory Intelligence</w:t>
            </w:r>
          </w:p>
        </w:tc>
        <w:tc>
          <w:tcPr>
            <w:tcW w:type="dxa" w:w="6480"/>
          </w:tcPr>
          <w:p>
            <w:r/>
            <w:r>
              <w:rPr>
                <w:rFonts w:ascii="Arial" w:hAnsi="Arial"/>
                <w:sz w:val="20"/>
              </w:rPr>
              <w:t>Automated scraping of SRA, ICO, FCA, Law Society, GOV.UK feeds with Claude AI impact analysis</w:t>
            </w:r>
          </w:p>
        </w:tc>
      </w:tr>
      <w:tr>
        <w:tc>
          <w:tcPr>
            <w:tcW w:type="dxa" w:w="2880"/>
          </w:tcPr>
          <w:p>
            <w:r/>
            <w:r>
              <w:rPr>
                <w:rFonts w:ascii="Arial" w:hAnsi="Arial"/>
                <w:sz w:val="20"/>
              </w:rPr>
              <w:t>Compliance Alerts</w:t>
            </w:r>
          </w:p>
        </w:tc>
        <w:tc>
          <w:tcPr>
            <w:tcW w:type="dxa" w:w="6480"/>
          </w:tcPr>
          <w:p>
            <w:r/>
            <w:r>
              <w:rPr>
                <w:rFonts w:ascii="Arial" w:hAnsi="Arial"/>
                <w:sz w:val="20"/>
              </w:rPr>
              <w:t>Risk-scored alerts with assignment, remediation plans, evidence attachment, and resolution tracking</w:t>
            </w:r>
          </w:p>
        </w:tc>
      </w:tr>
      <w:tr>
        <w:tc>
          <w:tcPr>
            <w:tcW w:type="dxa" w:w="2880"/>
          </w:tcPr>
          <w:p>
            <w:r/>
            <w:r>
              <w:rPr>
                <w:rFonts w:ascii="Arial" w:hAnsi="Arial"/>
                <w:sz w:val="20"/>
              </w:rPr>
              <w:t>Breach Management</w:t>
            </w:r>
          </w:p>
        </w:tc>
        <w:tc>
          <w:tcPr>
            <w:tcW w:type="dxa" w:w="6480"/>
          </w:tcPr>
          <w:p>
            <w:r/>
            <w:r>
              <w:rPr>
                <w:rFonts w:ascii="Arial" w:hAnsi="Arial"/>
                <w:sz w:val="20"/>
              </w:rPr>
              <w:t>ICO-compliant breach logging, severity assessment, 72-hour notification tracking, remediation steps</w:t>
            </w:r>
          </w:p>
        </w:tc>
      </w:tr>
      <w:tr>
        <w:tc>
          <w:tcPr>
            <w:tcW w:type="dxa" w:w="2880"/>
          </w:tcPr>
          <w:p>
            <w:r/>
            <w:r>
              <w:rPr>
                <w:rFonts w:ascii="Arial" w:hAnsi="Arial"/>
                <w:sz w:val="20"/>
              </w:rPr>
              <w:t>Supervision</w:t>
            </w:r>
          </w:p>
        </w:tc>
        <w:tc>
          <w:tcPr>
            <w:tcW w:type="dxa" w:w="6480"/>
          </w:tcPr>
          <w:p>
            <w:r/>
            <w:r>
              <w:rPr>
                <w:rFonts w:ascii="Arial" w:hAnsi="Arial"/>
                <w:sz w:val="20"/>
              </w:rPr>
              <w:t>Supervisor-supervisee scheduling, overdue detection, completion tracking, notes</w:t>
            </w:r>
          </w:p>
        </w:tc>
      </w:tr>
      <w:tr>
        <w:tc>
          <w:tcPr>
            <w:tcW w:type="dxa" w:w="2880"/>
          </w:tcPr>
          <w:p>
            <w:r/>
            <w:r>
              <w:rPr>
                <w:rFonts w:ascii="Arial" w:hAnsi="Arial"/>
                <w:sz w:val="20"/>
              </w:rPr>
              <w:t>Policy Management</w:t>
            </w:r>
          </w:p>
        </w:tc>
        <w:tc>
          <w:tcPr>
            <w:tcW w:type="dxa" w:w="6480"/>
          </w:tcPr>
          <w:p>
            <w:r/>
            <w:r>
              <w:rPr>
                <w:rFonts w:ascii="Arial" w:hAnsi="Arial"/>
                <w:sz w:val="20"/>
              </w:rPr>
              <w:t>Version-controlled policy documents, review scheduling, template library</w:t>
            </w:r>
          </w:p>
        </w:tc>
      </w:tr>
      <w:tr>
        <w:tc>
          <w:tcPr>
            <w:tcW w:type="dxa" w:w="2880"/>
          </w:tcPr>
          <w:p>
            <w:r/>
            <w:r>
              <w:rPr>
                <w:rFonts w:ascii="Arial" w:hAnsi="Arial"/>
                <w:sz w:val="20"/>
              </w:rPr>
              <w:t>Chase Engine</w:t>
            </w:r>
          </w:p>
        </w:tc>
        <w:tc>
          <w:tcPr>
            <w:tcW w:type="dxa" w:w="6480"/>
          </w:tcPr>
          <w:p>
            <w:r/>
            <w:r>
              <w:rPr>
                <w:rFonts w:ascii="Arial" w:hAnsi="Arial"/>
                <w:sz w:val="20"/>
              </w:rPr>
              <w:t>Automated daily email reminders for overdue training, reviews, CDD, and supervision with escalation</w:t>
            </w:r>
          </w:p>
        </w:tc>
      </w:tr>
      <w:tr>
        <w:tc>
          <w:tcPr>
            <w:tcW w:type="dxa" w:w="2880"/>
          </w:tcPr>
          <w:p>
            <w:r/>
            <w:r>
              <w:rPr>
                <w:rFonts w:ascii="Arial" w:hAnsi="Arial"/>
                <w:sz w:val="20"/>
              </w:rPr>
              <w:t>Evidence Locker</w:t>
            </w:r>
          </w:p>
        </w:tc>
        <w:tc>
          <w:tcPr>
            <w:tcW w:type="dxa" w:w="6480"/>
          </w:tcPr>
          <w:p>
            <w:r/>
            <w:r>
              <w:rPr>
                <w:rFonts w:ascii="Arial" w:hAnsi="Arial"/>
                <w:sz w:val="20"/>
              </w:rPr>
              <w:t>Secure document storage for audit evidence, tagged to alerts and compliance items</w:t>
            </w:r>
          </w:p>
        </w:tc>
      </w:tr>
      <w:tr>
        <w:tc>
          <w:tcPr>
            <w:tcW w:type="dxa" w:w="2880"/>
          </w:tcPr>
          <w:p>
            <w:r/>
            <w:r>
              <w:rPr>
                <w:rFonts w:ascii="Arial" w:hAnsi="Arial"/>
                <w:sz w:val="20"/>
              </w:rPr>
              <w:t>Audit &amp; Reporting</w:t>
            </w:r>
          </w:p>
        </w:tc>
        <w:tc>
          <w:tcPr>
            <w:tcW w:type="dxa" w:w="6480"/>
          </w:tcPr>
          <w:p>
            <w:r/>
            <w:r>
              <w:rPr>
                <w:rFonts w:ascii="Arial" w:hAnsi="Arial"/>
                <w:sz w:val="20"/>
              </w:rPr>
              <w:t>Full audit trail of all actions, exportable audit reports, SRA annual return auto-generation</w:t>
            </w:r>
          </w:p>
        </w:tc>
      </w:tr>
      <w:tr>
        <w:tc>
          <w:tcPr>
            <w:tcW w:type="dxa" w:w="2880"/>
          </w:tcPr>
          <w:p>
            <w:r/>
            <w:r>
              <w:rPr>
                <w:rFonts w:ascii="Arial" w:hAnsi="Arial"/>
                <w:sz w:val="20"/>
              </w:rPr>
              <w:t>Matter Checklists</w:t>
            </w:r>
          </w:p>
        </w:tc>
        <w:tc>
          <w:tcPr>
            <w:tcW w:type="dxa" w:w="6480"/>
          </w:tcPr>
          <w:p>
            <w:r/>
            <w:r>
              <w:rPr>
                <w:rFonts w:ascii="Arial" w:hAnsi="Arial"/>
                <w:sz w:val="20"/>
              </w:rPr>
              <w:t>Per-matter compliance checklists (file opening, ongoing, closing) with completion tracking</w:t>
            </w:r>
          </w:p>
        </w:tc>
      </w:tr>
      <w:tr>
        <w:tc>
          <w:tcPr>
            <w:tcW w:type="dxa" w:w="2880"/>
          </w:tcPr>
          <w:p>
            <w:r/>
            <w:r>
              <w:rPr>
                <w:rFonts w:ascii="Arial" w:hAnsi="Arial"/>
                <w:sz w:val="20"/>
              </w:rPr>
              <w:t>Email Settings</w:t>
            </w:r>
          </w:p>
        </w:tc>
        <w:tc>
          <w:tcPr>
            <w:tcW w:type="dxa" w:w="6480"/>
          </w:tcPr>
          <w:p>
            <w:r/>
            <w:r>
              <w:rPr>
                <w:rFonts w:ascii="Arial" w:hAnsi="Arial"/>
                <w:sz w:val="20"/>
              </w:rPr>
              <w:t>Configurable auto-chase rules per firm — frequency, escalation thresholds, enabled categories</w:t>
            </w:r>
          </w:p>
        </w:tc>
      </w:tr>
      <w:tr>
        <w:tc>
          <w:tcPr>
            <w:tcW w:type="dxa" w:w="2880"/>
          </w:tcPr>
          <w:p>
            <w:r/>
            <w:r>
              <w:rPr>
                <w:rFonts w:ascii="Arial" w:hAnsi="Arial"/>
                <w:sz w:val="20"/>
              </w:rPr>
              <w:t>Billing</w:t>
            </w:r>
          </w:p>
        </w:tc>
        <w:tc>
          <w:tcPr>
            <w:tcW w:type="dxa" w:w="6480"/>
          </w:tcPr>
          <w:p>
            <w:r/>
            <w:r>
              <w:rPr>
                <w:rFonts w:ascii="Arial" w:hAnsi="Arial"/>
                <w:sz w:val="20"/>
              </w:rPr>
              <w:t>Stripe-integrated subscription management with two tiers, usage tracking, invoice history</w:t>
            </w:r>
          </w:p>
        </w:tc>
      </w:tr>
    </w:tbl>
    <w:p/>
    <w:p>
      <w:r>
        <w:br w:type="page"/>
      </w:r>
    </w:p>
    <w:p>
      <w:pPr>
        <w:pStyle w:val="Heading1"/>
      </w:pPr>
      <w:r>
        <w:t>3. Target Users &amp; Personas</w:t>
      </w:r>
    </w:p>
    <w:p>
      <w:pPr>
        <w:pStyle w:val="Heading2"/>
      </w:pPr>
      <w:r>
        <w:t>3.1 Primary User: COLP</w:t>
      </w:r>
    </w:p>
    <w:p>
      <w:r>
        <w:t>The Compliance Officer for Legal Practice is the primary user. They have full access to all modules, receive escalation emails, and are responsible for the firm's compliance posture. They use the dashboard daily and the SRA return generator annually. Seema is their operating system.</w:t>
      </w:r>
    </w:p>
    <w:p>
      <w:pPr>
        <w:pStyle w:val="Heading2"/>
      </w:pPr>
      <w:r>
        <w:t>3.2 Secondary Users</w:t>
      </w:r>
    </w:p>
    <w:tbl>
      <w:tblPr>
        <w:tblStyle w:val="TableGrid"/>
        <w:tblW w:type="auto" w:w="0"/>
        <w:jc w:val="center"/>
        <w:tblLook w:firstColumn="1" w:firstRow="1" w:lastColumn="0" w:lastRow="0" w:noHBand="0" w:noVBand="1" w:val="04A0"/>
      </w:tblPr>
      <w:tblGrid>
        <w:gridCol w:w="4680"/>
        <w:gridCol w:w="4680"/>
      </w:tblGrid>
      <w:tr>
        <w:tc>
          <w:tcPr>
            <w:tcW w:type="dxa" w:w="2160"/>
            <w:shd w:fill="1a1a2e" w:color="auto" w:val="clear"/>
          </w:tcPr>
          <w:p>
            <w:r/>
            <w:r>
              <w:rPr>
                <w:rFonts w:ascii="Arial" w:hAnsi="Arial"/>
                <w:b/>
                <w:color w:val="FFFFFF"/>
                <w:sz w:val="20"/>
              </w:rPr>
              <w:t>Role</w:t>
            </w:r>
          </w:p>
        </w:tc>
        <w:tc>
          <w:tcPr>
            <w:tcW w:type="dxa" w:w="7200"/>
            <w:shd w:fill="1a1a2e" w:color="auto" w:val="clear"/>
          </w:tcPr>
          <w:p>
            <w:r/>
            <w:r>
              <w:rPr>
                <w:rFonts w:ascii="Arial" w:hAnsi="Arial"/>
                <w:b/>
                <w:color w:val="FFFFFF"/>
                <w:sz w:val="20"/>
              </w:rPr>
              <w:t>Access &amp; Responsibilities</w:t>
            </w:r>
          </w:p>
        </w:tc>
      </w:tr>
      <w:tr>
        <w:tc>
          <w:tcPr>
            <w:tcW w:type="dxa" w:w="2160"/>
          </w:tcPr>
          <w:p>
            <w:r/>
            <w:r>
              <w:rPr>
                <w:rFonts w:ascii="Arial" w:hAnsi="Arial"/>
                <w:sz w:val="20"/>
              </w:rPr>
              <w:t>Partner</w:t>
            </w:r>
          </w:p>
        </w:tc>
        <w:tc>
          <w:tcPr>
            <w:tcW w:type="dxa" w:w="7200"/>
          </w:tcPr>
          <w:p>
            <w:r/>
            <w:r>
              <w:rPr>
                <w:rFonts w:ascii="Arial" w:hAnsi="Arial"/>
                <w:sz w:val="20"/>
              </w:rPr>
              <w:t>View compliance dashboard, review alerts, approve policies. Cannot modify firm settings.</w:t>
            </w:r>
          </w:p>
        </w:tc>
      </w:tr>
      <w:tr>
        <w:tc>
          <w:tcPr>
            <w:tcW w:type="dxa" w:w="2160"/>
          </w:tcPr>
          <w:p>
            <w:r/>
            <w:r>
              <w:rPr>
                <w:rFonts w:ascii="Arial" w:hAnsi="Arial"/>
                <w:sz w:val="20"/>
              </w:rPr>
              <w:t>Admin</w:t>
            </w:r>
          </w:p>
        </w:tc>
        <w:tc>
          <w:tcPr>
            <w:tcW w:type="dxa" w:w="7200"/>
          </w:tcPr>
          <w:p>
            <w:r/>
            <w:r>
              <w:rPr>
                <w:rFonts w:ascii="Arial" w:hAnsi="Arial"/>
                <w:sz w:val="20"/>
              </w:rPr>
              <w:t>Manage staff directory, configure email settings, handle data imports/exports.</w:t>
            </w:r>
          </w:p>
        </w:tc>
      </w:tr>
      <w:tr>
        <w:tc>
          <w:tcPr>
            <w:tcW w:type="dxa" w:w="2160"/>
          </w:tcPr>
          <w:p>
            <w:r/>
            <w:r>
              <w:rPr>
                <w:rFonts w:ascii="Arial" w:hAnsi="Arial"/>
                <w:sz w:val="20"/>
              </w:rPr>
              <w:t>Solicitor</w:t>
            </w:r>
          </w:p>
        </w:tc>
        <w:tc>
          <w:tcPr>
            <w:tcW w:type="dxa" w:w="7200"/>
          </w:tcPr>
          <w:p>
            <w:r/>
            <w:r>
              <w:rPr>
                <w:rFonts w:ascii="Arial" w:hAnsi="Arial"/>
                <w:sz w:val="20"/>
              </w:rPr>
              <w:t>Complete assigned training, acknowledge chasers, submit client intake forms, update matter checklists.</w:t>
            </w:r>
          </w:p>
        </w:tc>
      </w:tr>
      <w:tr>
        <w:tc>
          <w:tcPr>
            <w:tcW w:type="dxa" w:w="2160"/>
          </w:tcPr>
          <w:p>
            <w:r/>
            <w:r>
              <w:rPr>
                <w:rFonts w:ascii="Arial" w:hAnsi="Arial"/>
                <w:sz w:val="20"/>
              </w:rPr>
              <w:t>Staff</w:t>
            </w:r>
          </w:p>
        </w:tc>
        <w:tc>
          <w:tcPr>
            <w:tcW w:type="dxa" w:w="7200"/>
          </w:tcPr>
          <w:p>
            <w:r/>
            <w:r>
              <w:rPr>
                <w:rFonts w:ascii="Arial" w:hAnsi="Arial"/>
                <w:sz w:val="20"/>
              </w:rPr>
              <w:t>View personal training requirements, acknowledge reminders, access staff portal.</w:t>
            </w:r>
          </w:p>
        </w:tc>
      </w:tr>
    </w:tbl>
    <w:p/>
    <w:p>
      <w:pPr>
        <w:pStyle w:val="Heading2"/>
      </w:pPr>
      <w:r>
        <w:t>3.3 Target Firm Profile</w:t>
      </w:r>
    </w:p>
    <w:p>
      <w:r>
        <w:t>Sweet spot: 10-50 solicitors across 1-3 offices. Large enough that compliance is a genuine headache, small enough that they cannot afford a dedicated compliance team. Practice areas with high regulatory burden: conveyancing (AML scrutiny), criminal defence, family law, immigration.</w:t>
      </w:r>
    </w:p>
    <w:p>
      <w:r>
        <w:br w:type="page"/>
      </w:r>
    </w:p>
    <w:p>
      <w:pPr>
        <w:pStyle w:val="Heading1"/>
      </w:pPr>
      <w:r>
        <w:t>4. System Architecture</w:t>
      </w:r>
    </w:p>
    <w:p>
      <w:pPr>
        <w:pStyle w:val="Heading2"/>
      </w:pPr>
      <w:r>
        <w:t>4.1 High-Level Architecture</w:t>
      </w:r>
    </w:p>
    <w:p>
      <w:r>
        <w:t>Seema follows a standard three-tier architecture with clear separation between the frontend, API, and data layers. All communication between frontend and backend happens over HTTPS via RESTful JSON APIs. Background tasks (chase engine, regulatory scraping) run on Celery workers with Redis as the message broker.</w:t>
      </w:r>
    </w:p>
    <w:tbl>
      <w:tblPr>
        <w:tblStyle w:val="TableGrid"/>
        <w:tblW w:type="auto" w:w="0"/>
        <w:jc w:val="center"/>
        <w:tblLook w:firstColumn="1" w:firstRow="1" w:lastColumn="0" w:lastRow="0" w:noHBand="0" w:noVBand="1" w:val="04A0"/>
      </w:tblPr>
      <w:tblGrid>
        <w:gridCol w:w="4680"/>
        <w:gridCol w:w="4680"/>
      </w:tblGrid>
      <w:tr>
        <w:tc>
          <w:tcPr>
            <w:tcW w:type="dxa" w:w="2592"/>
            <w:shd w:fill="1a1a2e" w:color="auto" w:val="clear"/>
          </w:tcPr>
          <w:p>
            <w:r/>
            <w:r>
              <w:rPr>
                <w:rFonts w:ascii="Arial" w:hAnsi="Arial"/>
                <w:b/>
                <w:color w:val="FFFFFF"/>
                <w:sz w:val="20"/>
              </w:rPr>
              <w:t>Component</w:t>
            </w:r>
          </w:p>
        </w:tc>
        <w:tc>
          <w:tcPr>
            <w:tcW w:type="dxa" w:w="6768"/>
            <w:shd w:fill="1a1a2e" w:color="auto" w:val="clear"/>
          </w:tcPr>
          <w:p>
            <w:r/>
            <w:r>
              <w:rPr>
                <w:rFonts w:ascii="Arial" w:hAnsi="Arial"/>
                <w:b/>
                <w:color w:val="FFFFFF"/>
                <w:sz w:val="20"/>
              </w:rPr>
              <w:t>Technology &amp; Purpose</w:t>
            </w:r>
          </w:p>
        </w:tc>
      </w:tr>
      <w:tr>
        <w:tc>
          <w:tcPr>
            <w:tcW w:type="dxa" w:w="2592"/>
          </w:tcPr>
          <w:p>
            <w:r/>
            <w:r>
              <w:rPr>
                <w:rFonts w:ascii="Arial" w:hAnsi="Arial"/>
                <w:sz w:val="20"/>
              </w:rPr>
              <w:t>Client Layer</w:t>
            </w:r>
          </w:p>
        </w:tc>
        <w:tc>
          <w:tcPr>
            <w:tcW w:type="dxa" w:w="6768"/>
          </w:tcPr>
          <w:p>
            <w:r/>
            <w:r>
              <w:rPr>
                <w:rFonts w:ascii="Arial" w:hAnsi="Arial"/>
                <w:sz w:val="20"/>
              </w:rPr>
              <w:t>Next.js 14 (App Router) — server-side rendered React with TypeScript</w:t>
            </w:r>
          </w:p>
        </w:tc>
      </w:tr>
      <w:tr>
        <w:tc>
          <w:tcPr>
            <w:tcW w:type="dxa" w:w="2592"/>
          </w:tcPr>
          <w:p>
            <w:r/>
            <w:r>
              <w:rPr>
                <w:rFonts w:ascii="Arial" w:hAnsi="Arial"/>
                <w:sz w:val="20"/>
              </w:rPr>
              <w:t>Reverse Proxy</w:t>
            </w:r>
          </w:p>
        </w:tc>
        <w:tc>
          <w:tcPr>
            <w:tcW w:type="dxa" w:w="6768"/>
          </w:tcPr>
          <w:p>
            <w:r/>
            <w:r>
              <w:rPr>
                <w:rFonts w:ascii="Arial" w:hAnsi="Arial"/>
                <w:sz w:val="20"/>
              </w:rPr>
              <w:t>Nginx — SSL termination, static file serving, request routing</w:t>
            </w:r>
          </w:p>
        </w:tc>
      </w:tr>
      <w:tr>
        <w:tc>
          <w:tcPr>
            <w:tcW w:type="dxa" w:w="2592"/>
          </w:tcPr>
          <w:p>
            <w:r/>
            <w:r>
              <w:rPr>
                <w:rFonts w:ascii="Arial" w:hAnsi="Arial"/>
                <w:sz w:val="20"/>
              </w:rPr>
              <w:t>API Layer</w:t>
            </w:r>
          </w:p>
        </w:tc>
        <w:tc>
          <w:tcPr>
            <w:tcW w:type="dxa" w:w="6768"/>
          </w:tcPr>
          <w:p>
            <w:r/>
            <w:r>
              <w:rPr>
                <w:rFonts w:ascii="Arial" w:hAnsi="Arial"/>
                <w:sz w:val="20"/>
              </w:rPr>
              <w:t>FastAPI — async Python REST API with 120+ endpoints across 21 routers</w:t>
            </w:r>
          </w:p>
        </w:tc>
      </w:tr>
      <w:tr>
        <w:tc>
          <w:tcPr>
            <w:tcW w:type="dxa" w:w="2592"/>
          </w:tcPr>
          <w:p>
            <w:r/>
            <w:r>
              <w:rPr>
                <w:rFonts w:ascii="Arial" w:hAnsi="Arial"/>
                <w:sz w:val="20"/>
              </w:rPr>
              <w:t>Auth Layer</w:t>
            </w:r>
          </w:p>
        </w:tc>
        <w:tc>
          <w:tcPr>
            <w:tcW w:type="dxa" w:w="6768"/>
          </w:tcPr>
          <w:p>
            <w:r/>
            <w:r>
              <w:rPr>
                <w:rFonts w:ascii="Arial" w:hAnsi="Arial"/>
                <w:sz w:val="20"/>
              </w:rPr>
              <w:t>JWT (access + refresh tokens) with role-based access control (5 roles)</w:t>
            </w:r>
          </w:p>
        </w:tc>
      </w:tr>
      <w:tr>
        <w:tc>
          <w:tcPr>
            <w:tcW w:type="dxa" w:w="2592"/>
          </w:tcPr>
          <w:p>
            <w:r/>
            <w:r>
              <w:rPr>
                <w:rFonts w:ascii="Arial" w:hAnsi="Arial"/>
                <w:sz w:val="20"/>
              </w:rPr>
              <w:t>Tenant Layer</w:t>
            </w:r>
          </w:p>
        </w:tc>
        <w:tc>
          <w:tcPr>
            <w:tcW w:type="dxa" w:w="6768"/>
          </w:tcPr>
          <w:p>
            <w:r/>
            <w:r>
              <w:rPr>
                <w:rFonts w:ascii="Arial" w:hAnsi="Arial"/>
                <w:sz w:val="20"/>
              </w:rPr>
              <w:t>TenantQuery middleware — all DB queries auto-filtered by firm_id</w:t>
            </w:r>
          </w:p>
        </w:tc>
      </w:tr>
      <w:tr>
        <w:tc>
          <w:tcPr>
            <w:tcW w:type="dxa" w:w="2592"/>
          </w:tcPr>
          <w:p>
            <w:r/>
            <w:r>
              <w:rPr>
                <w:rFonts w:ascii="Arial" w:hAnsi="Arial"/>
                <w:sz w:val="20"/>
              </w:rPr>
              <w:t>Task Layer</w:t>
            </w:r>
          </w:p>
        </w:tc>
        <w:tc>
          <w:tcPr>
            <w:tcW w:type="dxa" w:w="6768"/>
          </w:tcPr>
          <w:p>
            <w:r/>
            <w:r>
              <w:rPr>
                <w:rFonts w:ascii="Arial" w:hAnsi="Arial"/>
                <w:sz w:val="20"/>
              </w:rPr>
              <w:t>Celery workers + Celery Beat — daily chase engine, regulatory scraping</w:t>
            </w:r>
          </w:p>
        </w:tc>
      </w:tr>
      <w:tr>
        <w:tc>
          <w:tcPr>
            <w:tcW w:type="dxa" w:w="2592"/>
          </w:tcPr>
          <w:p>
            <w:r/>
            <w:r>
              <w:rPr>
                <w:rFonts w:ascii="Arial" w:hAnsi="Arial"/>
                <w:sz w:val="20"/>
              </w:rPr>
              <w:t>Data Layer</w:t>
            </w:r>
          </w:p>
        </w:tc>
        <w:tc>
          <w:tcPr>
            <w:tcW w:type="dxa" w:w="6768"/>
          </w:tcPr>
          <w:p>
            <w:r/>
            <w:r>
              <w:rPr>
                <w:rFonts w:ascii="Arial" w:hAnsi="Arial"/>
                <w:sz w:val="20"/>
              </w:rPr>
              <w:t>PostgreSQL 16 — 42+ tables with Alembic migrations</w:t>
            </w:r>
          </w:p>
        </w:tc>
      </w:tr>
      <w:tr>
        <w:tc>
          <w:tcPr>
            <w:tcW w:type="dxa" w:w="2592"/>
          </w:tcPr>
          <w:p>
            <w:r/>
            <w:r>
              <w:rPr>
                <w:rFonts w:ascii="Arial" w:hAnsi="Arial"/>
                <w:sz w:val="20"/>
              </w:rPr>
              <w:t>Cache Layer</w:t>
            </w:r>
          </w:p>
        </w:tc>
        <w:tc>
          <w:tcPr>
            <w:tcW w:type="dxa" w:w="6768"/>
          </w:tcPr>
          <w:p>
            <w:r/>
            <w:r>
              <w:rPr>
                <w:rFonts w:ascii="Arial" w:hAnsi="Arial"/>
                <w:sz w:val="20"/>
              </w:rPr>
              <w:t>Redis 7 — Celery broker, session cache, rate limiting</w:t>
            </w:r>
          </w:p>
        </w:tc>
      </w:tr>
      <w:tr>
        <w:tc>
          <w:tcPr>
            <w:tcW w:type="dxa" w:w="2592"/>
          </w:tcPr>
          <w:p>
            <w:r/>
            <w:r>
              <w:rPr>
                <w:rFonts w:ascii="Arial" w:hAnsi="Arial"/>
                <w:sz w:val="20"/>
              </w:rPr>
              <w:t>Email Layer</w:t>
            </w:r>
          </w:p>
        </w:tc>
        <w:tc>
          <w:tcPr>
            <w:tcW w:type="dxa" w:w="6768"/>
          </w:tcPr>
          <w:p>
            <w:r/>
            <w:r>
              <w:rPr>
                <w:rFonts w:ascii="Arial" w:hAnsi="Arial"/>
                <w:sz w:val="20"/>
              </w:rPr>
              <w:t>SendGrid — transactional emails with branded HTML templates</w:t>
            </w:r>
          </w:p>
        </w:tc>
      </w:tr>
      <w:tr>
        <w:tc>
          <w:tcPr>
            <w:tcW w:type="dxa" w:w="2592"/>
          </w:tcPr>
          <w:p>
            <w:r/>
            <w:r>
              <w:rPr>
                <w:rFonts w:ascii="Arial" w:hAnsi="Arial"/>
                <w:sz w:val="20"/>
              </w:rPr>
              <w:t>AI Layer</w:t>
            </w:r>
          </w:p>
        </w:tc>
        <w:tc>
          <w:tcPr>
            <w:tcW w:type="dxa" w:w="6768"/>
          </w:tcPr>
          <w:p>
            <w:r/>
            <w:r>
              <w:rPr>
                <w:rFonts w:ascii="Arial" w:hAnsi="Arial"/>
                <w:sz w:val="20"/>
              </w:rPr>
              <w:t>Anthropic Claude API — regulatory impact analysis</w:t>
            </w:r>
          </w:p>
        </w:tc>
      </w:tr>
      <w:tr>
        <w:tc>
          <w:tcPr>
            <w:tcW w:type="dxa" w:w="2592"/>
          </w:tcPr>
          <w:p>
            <w:r/>
            <w:r>
              <w:rPr>
                <w:rFonts w:ascii="Arial" w:hAnsi="Arial"/>
                <w:sz w:val="20"/>
              </w:rPr>
              <w:t>Payments Layer</w:t>
            </w:r>
          </w:p>
        </w:tc>
        <w:tc>
          <w:tcPr>
            <w:tcW w:type="dxa" w:w="6768"/>
          </w:tcPr>
          <w:p>
            <w:r/>
            <w:r>
              <w:rPr>
                <w:rFonts w:ascii="Arial" w:hAnsi="Arial"/>
                <w:sz w:val="20"/>
              </w:rPr>
              <w:t>Stripe — subscription billing with webhook processing</w:t>
            </w:r>
          </w:p>
        </w:tc>
      </w:tr>
    </w:tbl>
    <w:p/>
    <w:p>
      <w:pPr>
        <w:pStyle w:val="Heading2"/>
      </w:pPr>
      <w:r>
        <w:t>4.2 Request Flow</w:t>
      </w:r>
    </w:p>
    <w:p>
      <w:r>
        <w:t>Browser → Nginx (port 80/443) → Next.js (port 3000) for pages, or → FastAPI (port 8000) for API calls. Every API request passes through: CORS middleware → Rate limiter → JWT authentication → Tenant isolation → Router handler → Database.</w:t>
      </w:r>
    </w:p>
    <w:p>
      <w:r>
        <w:br w:type="page"/>
      </w:r>
    </w:p>
    <w:p>
      <w:pPr>
        <w:pStyle w:val="Heading1"/>
      </w:pPr>
      <w:r>
        <w:t>5. Technology Stack</w:t>
      </w:r>
    </w:p>
    <w:p>
      <w:pPr>
        <w:pStyle w:val="Heading2"/>
      </w:pPr>
      <w:r>
        <w:t>5.1 Backend</w:t>
      </w:r>
    </w:p>
    <w:tbl>
      <w:tblPr>
        <w:tblStyle w:val="TableGrid"/>
        <w:tblW w:type="auto" w:w="0"/>
        <w:jc w:val="center"/>
        <w:tblLook w:firstColumn="1" w:firstRow="1" w:lastColumn="0" w:lastRow="0" w:noHBand="0" w:noVBand="1" w:val="04A0"/>
      </w:tblPr>
      <w:tblGrid>
        <w:gridCol w:w="4680"/>
        <w:gridCol w:w="4680"/>
      </w:tblGrid>
      <w:tr>
        <w:tc>
          <w:tcPr>
            <w:tcW w:type="dxa" w:w="2880"/>
            <w:shd w:fill="1a1a2e" w:color="auto" w:val="clear"/>
          </w:tcPr>
          <w:p>
            <w:r/>
            <w:r>
              <w:rPr>
                <w:rFonts w:ascii="Arial" w:hAnsi="Arial"/>
                <w:b/>
                <w:color w:val="FFFFFF"/>
                <w:sz w:val="20"/>
              </w:rPr>
              <w:t>Category</w:t>
            </w:r>
          </w:p>
        </w:tc>
        <w:tc>
          <w:tcPr>
            <w:tcW w:type="dxa" w:w="6480"/>
            <w:shd w:fill="1a1a2e" w:color="auto" w:val="clear"/>
          </w:tcPr>
          <w:p>
            <w:r/>
            <w:r>
              <w:rPr>
                <w:rFonts w:ascii="Arial" w:hAnsi="Arial"/>
                <w:b/>
                <w:color w:val="FFFFFF"/>
                <w:sz w:val="20"/>
              </w:rPr>
              <w:t>Technology</w:t>
            </w:r>
          </w:p>
        </w:tc>
      </w:tr>
      <w:tr>
        <w:tc>
          <w:tcPr>
            <w:tcW w:type="dxa" w:w="2880"/>
          </w:tcPr>
          <w:p>
            <w:r/>
            <w:r>
              <w:rPr>
                <w:rFonts w:ascii="Arial" w:hAnsi="Arial"/>
                <w:sz w:val="20"/>
              </w:rPr>
              <w:t>Runtime</w:t>
            </w:r>
          </w:p>
        </w:tc>
        <w:tc>
          <w:tcPr>
            <w:tcW w:type="dxa" w:w="6480"/>
          </w:tcPr>
          <w:p>
            <w:r/>
            <w:r>
              <w:rPr>
                <w:rFonts w:ascii="Arial" w:hAnsi="Arial"/>
                <w:sz w:val="20"/>
              </w:rPr>
              <w:t>Python 3.12</w:t>
            </w:r>
          </w:p>
        </w:tc>
      </w:tr>
      <w:tr>
        <w:tc>
          <w:tcPr>
            <w:tcW w:type="dxa" w:w="2880"/>
          </w:tcPr>
          <w:p>
            <w:r/>
            <w:r>
              <w:rPr>
                <w:rFonts w:ascii="Arial" w:hAnsi="Arial"/>
                <w:sz w:val="20"/>
              </w:rPr>
              <w:t>Framework</w:t>
            </w:r>
          </w:p>
        </w:tc>
        <w:tc>
          <w:tcPr>
            <w:tcW w:type="dxa" w:w="6480"/>
          </w:tcPr>
          <w:p>
            <w:r/>
            <w:r>
              <w:rPr>
                <w:rFonts w:ascii="Arial" w:hAnsi="Arial"/>
                <w:sz w:val="20"/>
              </w:rPr>
              <w:t>FastAPI 0.115</w:t>
            </w:r>
          </w:p>
        </w:tc>
      </w:tr>
      <w:tr>
        <w:tc>
          <w:tcPr>
            <w:tcW w:type="dxa" w:w="2880"/>
          </w:tcPr>
          <w:p>
            <w:r/>
            <w:r>
              <w:rPr>
                <w:rFonts w:ascii="Arial" w:hAnsi="Arial"/>
                <w:sz w:val="20"/>
              </w:rPr>
              <w:t>ORM</w:t>
            </w:r>
          </w:p>
        </w:tc>
        <w:tc>
          <w:tcPr>
            <w:tcW w:type="dxa" w:w="6480"/>
          </w:tcPr>
          <w:p>
            <w:r/>
            <w:r>
              <w:rPr>
                <w:rFonts w:ascii="Arial" w:hAnsi="Arial"/>
                <w:sz w:val="20"/>
              </w:rPr>
              <w:t>SQLAlchemy 2.0 (async via asyncpg)</w:t>
            </w:r>
          </w:p>
        </w:tc>
      </w:tr>
      <w:tr>
        <w:tc>
          <w:tcPr>
            <w:tcW w:type="dxa" w:w="2880"/>
          </w:tcPr>
          <w:p>
            <w:r/>
            <w:r>
              <w:rPr>
                <w:rFonts w:ascii="Arial" w:hAnsi="Arial"/>
                <w:sz w:val="20"/>
              </w:rPr>
              <w:t>Database</w:t>
            </w:r>
          </w:p>
        </w:tc>
        <w:tc>
          <w:tcPr>
            <w:tcW w:type="dxa" w:w="6480"/>
          </w:tcPr>
          <w:p>
            <w:r/>
            <w:r>
              <w:rPr>
                <w:rFonts w:ascii="Arial" w:hAnsi="Arial"/>
                <w:sz w:val="20"/>
              </w:rPr>
              <w:t>PostgreSQL 16</w:t>
            </w:r>
          </w:p>
        </w:tc>
      </w:tr>
      <w:tr>
        <w:tc>
          <w:tcPr>
            <w:tcW w:type="dxa" w:w="2880"/>
          </w:tcPr>
          <w:p>
            <w:r/>
            <w:r>
              <w:rPr>
                <w:rFonts w:ascii="Arial" w:hAnsi="Arial"/>
                <w:sz w:val="20"/>
              </w:rPr>
              <w:t>Migrations</w:t>
            </w:r>
          </w:p>
        </w:tc>
        <w:tc>
          <w:tcPr>
            <w:tcW w:type="dxa" w:w="6480"/>
          </w:tcPr>
          <w:p>
            <w:r/>
            <w:r>
              <w:rPr>
                <w:rFonts w:ascii="Arial" w:hAnsi="Arial"/>
                <w:sz w:val="20"/>
              </w:rPr>
              <w:t>Alembic 1.13</w:t>
            </w:r>
          </w:p>
        </w:tc>
      </w:tr>
      <w:tr>
        <w:tc>
          <w:tcPr>
            <w:tcW w:type="dxa" w:w="2880"/>
          </w:tcPr>
          <w:p>
            <w:r/>
            <w:r>
              <w:rPr>
                <w:rFonts w:ascii="Arial" w:hAnsi="Arial"/>
                <w:sz w:val="20"/>
              </w:rPr>
              <w:t>Task Queue</w:t>
            </w:r>
          </w:p>
        </w:tc>
        <w:tc>
          <w:tcPr>
            <w:tcW w:type="dxa" w:w="6480"/>
          </w:tcPr>
          <w:p>
            <w:r/>
            <w:r>
              <w:rPr>
                <w:rFonts w:ascii="Arial" w:hAnsi="Arial"/>
                <w:sz w:val="20"/>
              </w:rPr>
              <w:t>Celery 5.4 with Redis broker</w:t>
            </w:r>
          </w:p>
        </w:tc>
      </w:tr>
      <w:tr>
        <w:tc>
          <w:tcPr>
            <w:tcW w:type="dxa" w:w="2880"/>
          </w:tcPr>
          <w:p>
            <w:r/>
            <w:r>
              <w:rPr>
                <w:rFonts w:ascii="Arial" w:hAnsi="Arial"/>
                <w:sz w:val="20"/>
              </w:rPr>
              <w:t>Auth</w:t>
            </w:r>
          </w:p>
        </w:tc>
        <w:tc>
          <w:tcPr>
            <w:tcW w:type="dxa" w:w="6480"/>
          </w:tcPr>
          <w:p>
            <w:r/>
            <w:r>
              <w:rPr>
                <w:rFonts w:ascii="Arial" w:hAnsi="Arial"/>
                <w:sz w:val="20"/>
              </w:rPr>
              <w:t>python-jose (JWT), passlib (bcrypt hashing)</w:t>
            </w:r>
          </w:p>
        </w:tc>
      </w:tr>
      <w:tr>
        <w:tc>
          <w:tcPr>
            <w:tcW w:type="dxa" w:w="2880"/>
          </w:tcPr>
          <w:p>
            <w:r/>
            <w:r>
              <w:rPr>
                <w:rFonts w:ascii="Arial" w:hAnsi="Arial"/>
                <w:sz w:val="20"/>
              </w:rPr>
              <w:t>HTTP Client</w:t>
            </w:r>
          </w:p>
        </w:tc>
        <w:tc>
          <w:tcPr>
            <w:tcW w:type="dxa" w:w="6480"/>
          </w:tcPr>
          <w:p>
            <w:r/>
            <w:r>
              <w:rPr>
                <w:rFonts w:ascii="Arial" w:hAnsi="Arial"/>
                <w:sz w:val="20"/>
              </w:rPr>
              <w:t>httpx 0.27 (async, for SRA/regulatory scraping)</w:t>
            </w:r>
          </w:p>
        </w:tc>
      </w:tr>
      <w:tr>
        <w:tc>
          <w:tcPr>
            <w:tcW w:type="dxa" w:w="2880"/>
          </w:tcPr>
          <w:p>
            <w:r/>
            <w:r>
              <w:rPr>
                <w:rFonts w:ascii="Arial" w:hAnsi="Arial"/>
                <w:sz w:val="20"/>
              </w:rPr>
              <w:t>HTML Parsing</w:t>
            </w:r>
          </w:p>
        </w:tc>
        <w:tc>
          <w:tcPr>
            <w:tcW w:type="dxa" w:w="6480"/>
          </w:tcPr>
          <w:p>
            <w:r/>
            <w:r>
              <w:rPr>
                <w:rFonts w:ascii="Arial" w:hAnsi="Arial"/>
                <w:sz w:val="20"/>
              </w:rPr>
              <w:t>BeautifulSoup 4.12 (regulatory page scraping)</w:t>
            </w:r>
          </w:p>
        </w:tc>
      </w:tr>
      <w:tr>
        <w:tc>
          <w:tcPr>
            <w:tcW w:type="dxa" w:w="2880"/>
          </w:tcPr>
          <w:p>
            <w:r/>
            <w:r>
              <w:rPr>
                <w:rFonts w:ascii="Arial" w:hAnsi="Arial"/>
                <w:sz w:val="20"/>
              </w:rPr>
              <w:t>PDF Generation</w:t>
            </w:r>
          </w:p>
        </w:tc>
        <w:tc>
          <w:tcPr>
            <w:tcW w:type="dxa" w:w="6480"/>
          </w:tcPr>
          <w:p>
            <w:r/>
            <w:r>
              <w:rPr>
                <w:rFonts w:ascii="Arial" w:hAnsi="Arial"/>
                <w:sz w:val="20"/>
              </w:rPr>
              <w:t>ReportLab 4.2</w:t>
            </w:r>
          </w:p>
        </w:tc>
      </w:tr>
      <w:tr>
        <w:tc>
          <w:tcPr>
            <w:tcW w:type="dxa" w:w="2880"/>
          </w:tcPr>
          <w:p>
            <w:r/>
            <w:r>
              <w:rPr>
                <w:rFonts w:ascii="Arial" w:hAnsi="Arial"/>
                <w:sz w:val="20"/>
              </w:rPr>
              <w:t>Email</w:t>
            </w:r>
          </w:p>
        </w:tc>
        <w:tc>
          <w:tcPr>
            <w:tcW w:type="dxa" w:w="6480"/>
          </w:tcPr>
          <w:p>
            <w:r/>
            <w:r>
              <w:rPr>
                <w:rFonts w:ascii="Arial" w:hAnsi="Arial"/>
                <w:sz w:val="20"/>
              </w:rPr>
              <w:t>SendGrid SDK 6.11</w:t>
            </w:r>
          </w:p>
        </w:tc>
      </w:tr>
      <w:tr>
        <w:tc>
          <w:tcPr>
            <w:tcW w:type="dxa" w:w="2880"/>
          </w:tcPr>
          <w:p>
            <w:r/>
            <w:r>
              <w:rPr>
                <w:rFonts w:ascii="Arial" w:hAnsi="Arial"/>
                <w:sz w:val="20"/>
              </w:rPr>
              <w:t>Payments</w:t>
            </w:r>
          </w:p>
        </w:tc>
        <w:tc>
          <w:tcPr>
            <w:tcW w:type="dxa" w:w="6480"/>
          </w:tcPr>
          <w:p>
            <w:r/>
            <w:r>
              <w:rPr>
                <w:rFonts w:ascii="Arial" w:hAnsi="Arial"/>
                <w:sz w:val="20"/>
              </w:rPr>
              <w:t>Stripe SDK 10.0</w:t>
            </w:r>
          </w:p>
        </w:tc>
      </w:tr>
      <w:tr>
        <w:tc>
          <w:tcPr>
            <w:tcW w:type="dxa" w:w="2880"/>
          </w:tcPr>
          <w:p>
            <w:r/>
            <w:r>
              <w:rPr>
                <w:rFonts w:ascii="Arial" w:hAnsi="Arial"/>
                <w:sz w:val="20"/>
              </w:rPr>
              <w:t>AI</w:t>
            </w:r>
          </w:p>
        </w:tc>
        <w:tc>
          <w:tcPr>
            <w:tcW w:type="dxa" w:w="6480"/>
          </w:tcPr>
          <w:p>
            <w:r/>
            <w:r>
              <w:rPr>
                <w:rFonts w:ascii="Arial" w:hAnsi="Arial"/>
                <w:sz w:val="20"/>
              </w:rPr>
              <w:t>Anthropic SDK 0.34</w:t>
            </w:r>
          </w:p>
        </w:tc>
      </w:tr>
      <w:tr>
        <w:tc>
          <w:tcPr>
            <w:tcW w:type="dxa" w:w="2880"/>
          </w:tcPr>
          <w:p>
            <w:r/>
            <w:r>
              <w:rPr>
                <w:rFonts w:ascii="Arial" w:hAnsi="Arial"/>
                <w:sz w:val="20"/>
              </w:rPr>
              <w:t>Validation</w:t>
            </w:r>
          </w:p>
        </w:tc>
        <w:tc>
          <w:tcPr>
            <w:tcW w:type="dxa" w:w="6480"/>
          </w:tcPr>
          <w:p>
            <w:r/>
            <w:r>
              <w:rPr>
                <w:rFonts w:ascii="Arial" w:hAnsi="Arial"/>
                <w:sz w:val="20"/>
              </w:rPr>
              <w:t>Pydantic 2.9</w:t>
            </w:r>
          </w:p>
        </w:tc>
      </w:tr>
    </w:tbl>
    <w:p/>
    <w:p>
      <w:pPr>
        <w:pStyle w:val="Heading2"/>
      </w:pPr>
      <w:r>
        <w:t>5.2 Frontend</w:t>
      </w:r>
    </w:p>
    <w:tbl>
      <w:tblPr>
        <w:tblStyle w:val="TableGrid"/>
        <w:tblW w:type="auto" w:w="0"/>
        <w:jc w:val="center"/>
        <w:tblLook w:firstColumn="1" w:firstRow="1" w:lastColumn="0" w:lastRow="0" w:noHBand="0" w:noVBand="1" w:val="04A0"/>
      </w:tblPr>
      <w:tblGrid>
        <w:gridCol w:w="4680"/>
        <w:gridCol w:w="4680"/>
      </w:tblGrid>
      <w:tr>
        <w:tc>
          <w:tcPr>
            <w:tcW w:type="dxa" w:w="2880"/>
            <w:shd w:fill="1a1a2e" w:color="auto" w:val="clear"/>
          </w:tcPr>
          <w:p>
            <w:r/>
            <w:r>
              <w:rPr>
                <w:rFonts w:ascii="Arial" w:hAnsi="Arial"/>
                <w:b/>
                <w:color w:val="FFFFFF"/>
                <w:sz w:val="20"/>
              </w:rPr>
              <w:t>Category</w:t>
            </w:r>
          </w:p>
        </w:tc>
        <w:tc>
          <w:tcPr>
            <w:tcW w:type="dxa" w:w="6480"/>
            <w:shd w:fill="1a1a2e" w:color="auto" w:val="clear"/>
          </w:tcPr>
          <w:p>
            <w:r/>
            <w:r>
              <w:rPr>
                <w:rFonts w:ascii="Arial" w:hAnsi="Arial"/>
                <w:b/>
                <w:color w:val="FFFFFF"/>
                <w:sz w:val="20"/>
              </w:rPr>
              <w:t>Technology</w:t>
            </w:r>
          </w:p>
        </w:tc>
      </w:tr>
      <w:tr>
        <w:tc>
          <w:tcPr>
            <w:tcW w:type="dxa" w:w="2880"/>
          </w:tcPr>
          <w:p>
            <w:r/>
            <w:r>
              <w:rPr>
                <w:rFonts w:ascii="Arial" w:hAnsi="Arial"/>
                <w:sz w:val="20"/>
              </w:rPr>
              <w:t>Runtime</w:t>
            </w:r>
          </w:p>
        </w:tc>
        <w:tc>
          <w:tcPr>
            <w:tcW w:type="dxa" w:w="6480"/>
          </w:tcPr>
          <w:p>
            <w:r/>
            <w:r>
              <w:rPr>
                <w:rFonts w:ascii="Arial" w:hAnsi="Arial"/>
                <w:sz w:val="20"/>
              </w:rPr>
              <w:t>Node.js 18</w:t>
            </w:r>
          </w:p>
        </w:tc>
      </w:tr>
      <w:tr>
        <w:tc>
          <w:tcPr>
            <w:tcW w:type="dxa" w:w="2880"/>
          </w:tcPr>
          <w:p>
            <w:r/>
            <w:r>
              <w:rPr>
                <w:rFonts w:ascii="Arial" w:hAnsi="Arial"/>
                <w:sz w:val="20"/>
              </w:rPr>
              <w:t>Framework</w:t>
            </w:r>
          </w:p>
        </w:tc>
        <w:tc>
          <w:tcPr>
            <w:tcW w:type="dxa" w:w="6480"/>
          </w:tcPr>
          <w:p>
            <w:r/>
            <w:r>
              <w:rPr>
                <w:rFonts w:ascii="Arial" w:hAnsi="Arial"/>
                <w:sz w:val="20"/>
              </w:rPr>
              <w:t>Next.js 14 (App Router)</w:t>
            </w:r>
          </w:p>
        </w:tc>
      </w:tr>
      <w:tr>
        <w:tc>
          <w:tcPr>
            <w:tcW w:type="dxa" w:w="2880"/>
          </w:tcPr>
          <w:p>
            <w:r/>
            <w:r>
              <w:rPr>
                <w:rFonts w:ascii="Arial" w:hAnsi="Arial"/>
                <w:sz w:val="20"/>
              </w:rPr>
              <w:t>Language</w:t>
            </w:r>
          </w:p>
        </w:tc>
        <w:tc>
          <w:tcPr>
            <w:tcW w:type="dxa" w:w="6480"/>
          </w:tcPr>
          <w:p>
            <w:r/>
            <w:r>
              <w:rPr>
                <w:rFonts w:ascii="Arial" w:hAnsi="Arial"/>
                <w:sz w:val="20"/>
              </w:rPr>
              <w:t>TypeScript 5.4</w:t>
            </w:r>
          </w:p>
        </w:tc>
      </w:tr>
      <w:tr>
        <w:tc>
          <w:tcPr>
            <w:tcW w:type="dxa" w:w="2880"/>
          </w:tcPr>
          <w:p>
            <w:r/>
            <w:r>
              <w:rPr>
                <w:rFonts w:ascii="Arial" w:hAnsi="Arial"/>
                <w:sz w:val="20"/>
              </w:rPr>
              <w:t>Styling</w:t>
            </w:r>
          </w:p>
        </w:tc>
        <w:tc>
          <w:tcPr>
            <w:tcW w:type="dxa" w:w="6480"/>
          </w:tcPr>
          <w:p>
            <w:r/>
            <w:r>
              <w:rPr>
                <w:rFonts w:ascii="Arial" w:hAnsi="Arial"/>
                <w:sz w:val="20"/>
              </w:rPr>
              <w:t>Tailwind CSS 3.4</w:t>
            </w:r>
          </w:p>
        </w:tc>
      </w:tr>
      <w:tr>
        <w:tc>
          <w:tcPr>
            <w:tcW w:type="dxa" w:w="2880"/>
          </w:tcPr>
          <w:p>
            <w:r/>
            <w:r>
              <w:rPr>
                <w:rFonts w:ascii="Arial" w:hAnsi="Arial"/>
                <w:sz w:val="20"/>
              </w:rPr>
              <w:t>State Management</w:t>
            </w:r>
          </w:p>
        </w:tc>
        <w:tc>
          <w:tcPr>
            <w:tcW w:type="dxa" w:w="6480"/>
          </w:tcPr>
          <w:p>
            <w:r/>
            <w:r>
              <w:rPr>
                <w:rFonts w:ascii="Arial" w:hAnsi="Arial"/>
                <w:sz w:val="20"/>
              </w:rPr>
              <w:t>Zustand 4.4</w:t>
            </w:r>
          </w:p>
        </w:tc>
      </w:tr>
      <w:tr>
        <w:tc>
          <w:tcPr>
            <w:tcW w:type="dxa" w:w="2880"/>
          </w:tcPr>
          <w:p>
            <w:r/>
            <w:r>
              <w:rPr>
                <w:rFonts w:ascii="Arial" w:hAnsi="Arial"/>
                <w:sz w:val="20"/>
              </w:rPr>
              <w:t>HTTP Client</w:t>
            </w:r>
          </w:p>
        </w:tc>
        <w:tc>
          <w:tcPr>
            <w:tcW w:type="dxa" w:w="6480"/>
          </w:tcPr>
          <w:p>
            <w:r/>
            <w:r>
              <w:rPr>
                <w:rFonts w:ascii="Arial" w:hAnsi="Arial"/>
                <w:sz w:val="20"/>
              </w:rPr>
              <w:t>Axios 1.6 (with interceptors for JWT refresh)</w:t>
            </w:r>
          </w:p>
        </w:tc>
      </w:tr>
      <w:tr>
        <w:tc>
          <w:tcPr>
            <w:tcW w:type="dxa" w:w="2880"/>
          </w:tcPr>
          <w:p>
            <w:r/>
            <w:r>
              <w:rPr>
                <w:rFonts w:ascii="Arial" w:hAnsi="Arial"/>
                <w:sz w:val="20"/>
              </w:rPr>
              <w:t>Charts</w:t>
            </w:r>
          </w:p>
        </w:tc>
        <w:tc>
          <w:tcPr>
            <w:tcW w:type="dxa" w:w="6480"/>
          </w:tcPr>
          <w:p>
            <w:r/>
            <w:r>
              <w:rPr>
                <w:rFonts w:ascii="Arial" w:hAnsi="Arial"/>
                <w:sz w:val="20"/>
              </w:rPr>
              <w:t>Recharts 2.11</w:t>
            </w:r>
          </w:p>
        </w:tc>
      </w:tr>
      <w:tr>
        <w:tc>
          <w:tcPr>
            <w:tcW w:type="dxa" w:w="2880"/>
          </w:tcPr>
          <w:p>
            <w:r/>
            <w:r>
              <w:rPr>
                <w:rFonts w:ascii="Arial" w:hAnsi="Arial"/>
                <w:sz w:val="20"/>
              </w:rPr>
              <w:t>Icons</w:t>
            </w:r>
          </w:p>
        </w:tc>
        <w:tc>
          <w:tcPr>
            <w:tcW w:type="dxa" w:w="6480"/>
          </w:tcPr>
          <w:p>
            <w:r/>
            <w:r>
              <w:rPr>
                <w:rFonts w:ascii="Arial" w:hAnsi="Arial"/>
                <w:sz w:val="20"/>
              </w:rPr>
              <w:t>Lucide React 0.408</w:t>
            </w:r>
          </w:p>
        </w:tc>
      </w:tr>
      <w:tr>
        <w:tc>
          <w:tcPr>
            <w:tcW w:type="dxa" w:w="2880"/>
          </w:tcPr>
          <w:p>
            <w:r/>
            <w:r>
              <w:rPr>
                <w:rFonts w:ascii="Arial" w:hAnsi="Arial"/>
                <w:sz w:val="20"/>
              </w:rPr>
              <w:t>Notifications</w:t>
            </w:r>
          </w:p>
        </w:tc>
        <w:tc>
          <w:tcPr>
            <w:tcW w:type="dxa" w:w="6480"/>
          </w:tcPr>
          <w:p>
            <w:r/>
            <w:r>
              <w:rPr>
                <w:rFonts w:ascii="Arial" w:hAnsi="Arial"/>
                <w:sz w:val="20"/>
              </w:rPr>
              <w:t>React Hot Toast 2.4</w:t>
            </w:r>
          </w:p>
        </w:tc>
      </w:tr>
      <w:tr>
        <w:tc>
          <w:tcPr>
            <w:tcW w:type="dxa" w:w="2880"/>
          </w:tcPr>
          <w:p>
            <w:r/>
            <w:r>
              <w:rPr>
                <w:rFonts w:ascii="Arial" w:hAnsi="Arial"/>
                <w:sz w:val="20"/>
              </w:rPr>
              <w:t>Date Utilities</w:t>
            </w:r>
          </w:p>
        </w:tc>
        <w:tc>
          <w:tcPr>
            <w:tcW w:type="dxa" w:w="6480"/>
          </w:tcPr>
          <w:p>
            <w:r/>
            <w:r>
              <w:rPr>
                <w:rFonts w:ascii="Arial" w:hAnsi="Arial"/>
                <w:sz w:val="20"/>
              </w:rPr>
              <w:t>date-fns 3.3</w:t>
            </w:r>
          </w:p>
        </w:tc>
      </w:tr>
    </w:tbl>
    <w:p/>
    <w:p>
      <w:pPr>
        <w:pStyle w:val="Heading2"/>
      </w:pPr>
      <w:r>
        <w:t>5.3 Infrastructure</w:t>
      </w:r>
    </w:p>
    <w:tbl>
      <w:tblPr>
        <w:tblStyle w:val="TableGrid"/>
        <w:tblW w:type="auto" w:w="0"/>
        <w:jc w:val="center"/>
        <w:tblLook w:firstColumn="1" w:firstRow="1" w:lastColumn="0" w:lastRow="0" w:noHBand="0" w:noVBand="1" w:val="04A0"/>
      </w:tblPr>
      <w:tblGrid>
        <w:gridCol w:w="4680"/>
        <w:gridCol w:w="4680"/>
      </w:tblGrid>
      <w:tr>
        <w:tc>
          <w:tcPr>
            <w:tcW w:type="dxa" w:w="2880"/>
            <w:shd w:fill="1a1a2e" w:color="auto" w:val="clear"/>
          </w:tcPr>
          <w:p>
            <w:r/>
            <w:r>
              <w:rPr>
                <w:rFonts w:ascii="Arial" w:hAnsi="Arial"/>
                <w:b/>
                <w:color w:val="FFFFFF"/>
                <w:sz w:val="20"/>
              </w:rPr>
              <w:t>Category</w:t>
            </w:r>
          </w:p>
        </w:tc>
        <w:tc>
          <w:tcPr>
            <w:tcW w:type="dxa" w:w="6480"/>
            <w:shd w:fill="1a1a2e" w:color="auto" w:val="clear"/>
          </w:tcPr>
          <w:p>
            <w:r/>
            <w:r>
              <w:rPr>
                <w:rFonts w:ascii="Arial" w:hAnsi="Arial"/>
                <w:b/>
                <w:color w:val="FFFFFF"/>
                <w:sz w:val="20"/>
              </w:rPr>
              <w:t>Technology</w:t>
            </w:r>
          </w:p>
        </w:tc>
      </w:tr>
      <w:tr>
        <w:tc>
          <w:tcPr>
            <w:tcW w:type="dxa" w:w="2880"/>
          </w:tcPr>
          <w:p>
            <w:r/>
            <w:r>
              <w:rPr>
                <w:rFonts w:ascii="Arial" w:hAnsi="Arial"/>
                <w:sz w:val="20"/>
              </w:rPr>
              <w:t>Containerisation</w:t>
            </w:r>
          </w:p>
        </w:tc>
        <w:tc>
          <w:tcPr>
            <w:tcW w:type="dxa" w:w="6480"/>
          </w:tcPr>
          <w:p>
            <w:r/>
            <w:r>
              <w:rPr>
                <w:rFonts w:ascii="Arial" w:hAnsi="Arial"/>
                <w:sz w:val="20"/>
              </w:rPr>
              <w:t>Docker (multi-stage builds)</w:t>
            </w:r>
          </w:p>
        </w:tc>
      </w:tr>
      <w:tr>
        <w:tc>
          <w:tcPr>
            <w:tcW w:type="dxa" w:w="2880"/>
          </w:tcPr>
          <w:p>
            <w:r/>
            <w:r>
              <w:rPr>
                <w:rFonts w:ascii="Arial" w:hAnsi="Arial"/>
                <w:sz w:val="20"/>
              </w:rPr>
              <w:t>Orchestration</w:t>
            </w:r>
          </w:p>
        </w:tc>
        <w:tc>
          <w:tcPr>
            <w:tcW w:type="dxa" w:w="6480"/>
          </w:tcPr>
          <w:p>
            <w:r/>
            <w:r>
              <w:rPr>
                <w:rFonts w:ascii="Arial" w:hAnsi="Arial"/>
                <w:sz w:val="20"/>
              </w:rPr>
              <w:t>Docker Compose 3.9</w:t>
            </w:r>
          </w:p>
        </w:tc>
      </w:tr>
      <w:tr>
        <w:tc>
          <w:tcPr>
            <w:tcW w:type="dxa" w:w="2880"/>
          </w:tcPr>
          <w:p>
            <w:r/>
            <w:r>
              <w:rPr>
                <w:rFonts w:ascii="Arial" w:hAnsi="Arial"/>
                <w:sz w:val="20"/>
              </w:rPr>
              <w:t>Reverse Proxy</w:t>
            </w:r>
          </w:p>
        </w:tc>
        <w:tc>
          <w:tcPr>
            <w:tcW w:type="dxa" w:w="6480"/>
          </w:tcPr>
          <w:p>
            <w:r/>
            <w:r>
              <w:rPr>
                <w:rFonts w:ascii="Arial" w:hAnsi="Arial"/>
                <w:sz w:val="20"/>
              </w:rPr>
              <w:t>Nginx Alpine</w:t>
            </w:r>
          </w:p>
        </w:tc>
      </w:tr>
      <w:tr>
        <w:tc>
          <w:tcPr>
            <w:tcW w:type="dxa" w:w="2880"/>
          </w:tcPr>
          <w:p>
            <w:r/>
            <w:r>
              <w:rPr>
                <w:rFonts w:ascii="Arial" w:hAnsi="Arial"/>
                <w:sz w:val="20"/>
              </w:rPr>
              <w:t>SSL</w:t>
            </w:r>
          </w:p>
        </w:tc>
        <w:tc>
          <w:tcPr>
            <w:tcW w:type="dxa" w:w="6480"/>
          </w:tcPr>
          <w:p>
            <w:r/>
            <w:r>
              <w:rPr>
                <w:rFonts w:ascii="Arial" w:hAnsi="Arial"/>
                <w:sz w:val="20"/>
              </w:rPr>
              <w:t>Let's Encrypt via Certbot</w:t>
            </w:r>
          </w:p>
        </w:tc>
      </w:tr>
      <w:tr>
        <w:tc>
          <w:tcPr>
            <w:tcW w:type="dxa" w:w="2880"/>
          </w:tcPr>
          <w:p>
            <w:r/>
            <w:r>
              <w:rPr>
                <w:rFonts w:ascii="Arial" w:hAnsi="Arial"/>
                <w:sz w:val="20"/>
              </w:rPr>
              <w:t>Database</w:t>
            </w:r>
          </w:p>
        </w:tc>
        <w:tc>
          <w:tcPr>
            <w:tcW w:type="dxa" w:w="6480"/>
          </w:tcPr>
          <w:p>
            <w:r/>
            <w:r>
              <w:rPr>
                <w:rFonts w:ascii="Arial" w:hAnsi="Arial"/>
                <w:sz w:val="20"/>
              </w:rPr>
              <w:t>PostgreSQL 16 Alpine (Docker volume for persistence)</w:t>
            </w:r>
          </w:p>
        </w:tc>
      </w:tr>
      <w:tr>
        <w:tc>
          <w:tcPr>
            <w:tcW w:type="dxa" w:w="2880"/>
          </w:tcPr>
          <w:p>
            <w:r/>
            <w:r>
              <w:rPr>
                <w:rFonts w:ascii="Arial" w:hAnsi="Arial"/>
                <w:sz w:val="20"/>
              </w:rPr>
              <w:t>Cache/Broker</w:t>
            </w:r>
          </w:p>
        </w:tc>
        <w:tc>
          <w:tcPr>
            <w:tcW w:type="dxa" w:w="6480"/>
          </w:tcPr>
          <w:p>
            <w:r/>
            <w:r>
              <w:rPr>
                <w:rFonts w:ascii="Arial" w:hAnsi="Arial"/>
                <w:sz w:val="20"/>
              </w:rPr>
              <w:t>Redis 7 Alpine</w:t>
            </w:r>
          </w:p>
        </w:tc>
      </w:tr>
    </w:tbl>
    <w:p/>
    <w:p>
      <w:r>
        <w:br w:type="page"/>
      </w:r>
    </w:p>
    <w:p>
      <w:pPr>
        <w:pStyle w:val="Heading1"/>
      </w:pPr>
      <w:r>
        <w:t>6. Database Schema</w:t>
      </w:r>
    </w:p>
    <w:p>
      <w:r>
        <w:t>The database contains 42+ tables organised into logical domains. Every table that contains firm-specific data includes a firm_id column used for tenant isolation. The TenantQuery middleware automatically appends WHERE firm_id = :current_firm_id to all queries.</w:t>
      </w:r>
    </w:p>
    <w:p>
      <w:pPr>
        <w:pStyle w:val="Heading2"/>
      </w:pPr>
      <w:r>
        <w:t>6.1 Model Files &amp; Tables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a1a2e" w:color="auto" w:val="clear"/>
          </w:tcPr>
          <w:p>
            <w:r/>
            <w:r>
              <w:rPr>
                <w:rFonts w:ascii="Arial" w:hAnsi="Arial"/>
                <w:b/>
                <w:color w:val="FFFFFF"/>
                <w:sz w:val="20"/>
              </w:rPr>
              <w:t>File</w:t>
            </w:r>
          </w:p>
        </w:tc>
        <w:tc>
          <w:tcPr>
            <w:tcW w:type="dxa" w:w="3888"/>
            <w:shd w:fill="1a1a2e" w:color="auto" w:val="clear"/>
          </w:tcPr>
          <w:p>
            <w:r/>
            <w:r>
              <w:rPr>
                <w:rFonts w:ascii="Arial" w:hAnsi="Arial"/>
                <w:b/>
                <w:color w:val="FFFFFF"/>
                <w:sz w:val="20"/>
              </w:rPr>
              <w:t>Tables</w:t>
            </w:r>
          </w:p>
        </w:tc>
        <w:tc>
          <w:tcPr>
            <w:tcW w:type="dxa" w:w="3600"/>
            <w:shd w:fill="1a1a2e" w:color="auto" w:val="clear"/>
          </w:tcPr>
          <w:p>
            <w:r/>
            <w:r>
              <w:rPr>
                <w:rFonts w:ascii="Arial" w:hAnsi="Arial"/>
                <w:b/>
                <w:color w:val="FFFFFF"/>
                <w:sz w:val="20"/>
              </w:rPr>
              <w:t>Purpose</w:t>
            </w:r>
          </w:p>
        </w:tc>
      </w:tr>
      <w:tr>
        <w:tc>
          <w:tcPr>
            <w:tcW w:type="dxa" w:w="1872"/>
          </w:tcPr>
          <w:p>
            <w:r/>
            <w:r>
              <w:rPr>
                <w:rFonts w:ascii="Arial" w:hAnsi="Arial"/>
                <w:sz w:val="20"/>
              </w:rPr>
              <w:t>auth.py</w:t>
            </w:r>
          </w:p>
        </w:tc>
        <w:tc>
          <w:tcPr>
            <w:tcW w:type="dxa" w:w="3888"/>
          </w:tcPr>
          <w:p>
            <w:r/>
            <w:r>
              <w:rPr>
                <w:rFonts w:ascii="Arial" w:hAnsi="Arial"/>
                <w:sz w:val="20"/>
              </w:rPr>
              <w:t>UserAccount, UserSession</w:t>
            </w:r>
          </w:p>
        </w:tc>
        <w:tc>
          <w:tcPr>
            <w:tcW w:type="dxa" w:w="3600"/>
          </w:tcPr>
          <w:p>
            <w:r/>
            <w:r>
              <w:rPr>
                <w:rFonts w:ascii="Arial" w:hAnsi="Arial"/>
                <w:sz w:val="20"/>
              </w:rPr>
              <w:t>User credentials, JWT sessions, password hashing</w:t>
            </w:r>
          </w:p>
        </w:tc>
      </w:tr>
      <w:tr>
        <w:tc>
          <w:tcPr>
            <w:tcW w:type="dxa" w:w="1872"/>
          </w:tcPr>
          <w:p>
            <w:r/>
            <w:r>
              <w:rPr>
                <w:rFonts w:ascii="Arial" w:hAnsi="Arial"/>
                <w:sz w:val="20"/>
              </w:rPr>
              <w:t>firm.py</w:t>
            </w:r>
          </w:p>
        </w:tc>
        <w:tc>
          <w:tcPr>
            <w:tcW w:type="dxa" w:w="3888"/>
          </w:tcPr>
          <w:p>
            <w:r/>
            <w:r>
              <w:rPr>
                <w:rFonts w:ascii="Arial" w:hAnsi="Arial"/>
                <w:sz w:val="20"/>
              </w:rPr>
              <w:t>Firm</w:t>
            </w:r>
          </w:p>
        </w:tc>
        <w:tc>
          <w:tcPr>
            <w:tcW w:type="dxa" w:w="3600"/>
          </w:tcPr>
          <w:p>
            <w:r/>
            <w:r>
              <w:rPr>
                <w:rFonts w:ascii="Arial" w:hAnsi="Arial"/>
                <w:sz w:val="20"/>
              </w:rPr>
              <w:t>Root tenant — SRA number, subscription tier, practice areas, contact details</w:t>
            </w:r>
          </w:p>
        </w:tc>
      </w:tr>
      <w:tr>
        <w:tc>
          <w:tcPr>
            <w:tcW w:type="dxa" w:w="1872"/>
          </w:tcPr>
          <w:p>
            <w:r/>
            <w:r>
              <w:rPr>
                <w:rFonts w:ascii="Arial" w:hAnsi="Arial"/>
                <w:sz w:val="20"/>
              </w:rPr>
              <w:t>staff.py</w:t>
            </w:r>
          </w:p>
        </w:tc>
        <w:tc>
          <w:tcPr>
            <w:tcW w:type="dxa" w:w="3888"/>
          </w:tcPr>
          <w:p>
            <w:r/>
            <w:r>
              <w:rPr>
                <w:rFonts w:ascii="Arial" w:hAnsi="Arial"/>
                <w:sz w:val="20"/>
              </w:rPr>
              <w:t>StaffMember, StaffTraining, StaffFileReview, StaffAction, SupervisionSchedule</w:t>
            </w:r>
          </w:p>
        </w:tc>
        <w:tc>
          <w:tcPr>
            <w:tcW w:type="dxa" w:w="3600"/>
          </w:tcPr>
          <w:p>
            <w:r/>
            <w:r>
              <w:rPr>
                <w:rFonts w:ascii="Arial" w:hAnsi="Arial"/>
                <w:sz w:val="20"/>
              </w:rPr>
              <w:t>Staff lifecycle, CPD tracking, supervision</w:t>
            </w:r>
          </w:p>
        </w:tc>
      </w:tr>
      <w:tr>
        <w:tc>
          <w:tcPr>
            <w:tcW w:type="dxa" w:w="1872"/>
          </w:tcPr>
          <w:p>
            <w:r/>
            <w:r>
              <w:rPr>
                <w:rFonts w:ascii="Arial" w:hAnsi="Arial"/>
                <w:sz w:val="20"/>
              </w:rPr>
              <w:t>intake.py</w:t>
            </w:r>
          </w:p>
        </w:tc>
        <w:tc>
          <w:tcPr>
            <w:tcW w:type="dxa" w:w="3888"/>
          </w:tcPr>
          <w:p>
            <w:r/>
            <w:r>
              <w:rPr>
                <w:rFonts w:ascii="Arial" w:hAnsi="Arial"/>
                <w:sz w:val="20"/>
              </w:rPr>
              <w:t>ClientIntake</w:t>
            </w:r>
          </w:p>
        </w:tc>
        <w:tc>
          <w:tcPr>
            <w:tcW w:type="dxa" w:w="3600"/>
          </w:tcPr>
          <w:p>
            <w:r/>
            <w:r>
              <w:rPr>
                <w:rFonts w:ascii="Arial" w:hAnsi="Arial"/>
                <w:sz w:val="20"/>
              </w:rPr>
              <w:t>Client onboarding with risk scoring, CDD/EDD, PEP flagging</w:t>
            </w:r>
          </w:p>
        </w:tc>
      </w:tr>
      <w:tr>
        <w:tc>
          <w:tcPr>
            <w:tcW w:type="dxa" w:w="1872"/>
          </w:tcPr>
          <w:p>
            <w:r/>
            <w:r>
              <w:rPr>
                <w:rFonts w:ascii="Arial" w:hAnsi="Arial"/>
                <w:sz w:val="20"/>
              </w:rPr>
              <w:t>compliance.py</w:t>
            </w:r>
          </w:p>
        </w:tc>
        <w:tc>
          <w:tcPr>
            <w:tcW w:type="dxa" w:w="3888"/>
          </w:tcPr>
          <w:p>
            <w:r/>
            <w:r>
              <w:rPr>
                <w:rFonts w:ascii="Arial" w:hAnsi="Arial"/>
                <w:sz w:val="20"/>
              </w:rPr>
              <w:t>ComplianceAlert, ComplianceCheck, ComplianceTask, RiskScore, SRAauditItem</w:t>
            </w:r>
          </w:p>
        </w:tc>
        <w:tc>
          <w:tcPr>
            <w:tcW w:type="dxa" w:w="3600"/>
          </w:tcPr>
          <w:p>
            <w:r/>
            <w:r>
              <w:rPr>
                <w:rFonts w:ascii="Arial" w:hAnsi="Arial"/>
                <w:sz w:val="20"/>
              </w:rPr>
              <w:t>Core compliance engine</w:t>
            </w:r>
          </w:p>
        </w:tc>
      </w:tr>
      <w:tr>
        <w:tc>
          <w:tcPr>
            <w:tcW w:type="dxa" w:w="1872"/>
          </w:tcPr>
          <w:p>
            <w:r/>
            <w:r>
              <w:rPr>
                <w:rFonts w:ascii="Arial" w:hAnsi="Arial"/>
                <w:sz w:val="20"/>
              </w:rPr>
              <w:t>breach.py</w:t>
            </w:r>
          </w:p>
        </w:tc>
        <w:tc>
          <w:tcPr>
            <w:tcW w:type="dxa" w:w="3888"/>
          </w:tcPr>
          <w:p>
            <w:r/>
            <w:r>
              <w:rPr>
                <w:rFonts w:ascii="Arial" w:hAnsi="Arial"/>
                <w:sz w:val="20"/>
              </w:rPr>
              <w:t>BreachReport, BreachReportStep</w:t>
            </w:r>
          </w:p>
        </w:tc>
        <w:tc>
          <w:tcPr>
            <w:tcW w:type="dxa" w:w="3600"/>
          </w:tcPr>
          <w:p>
            <w:r/>
            <w:r>
              <w:rPr>
                <w:rFonts w:ascii="Arial" w:hAnsi="Arial"/>
                <w:sz w:val="20"/>
              </w:rPr>
              <w:t>ICO-notifiable breach tracking with remediation steps</w:t>
            </w:r>
          </w:p>
        </w:tc>
      </w:tr>
      <w:tr>
        <w:tc>
          <w:tcPr>
            <w:tcW w:type="dxa" w:w="1872"/>
          </w:tcPr>
          <w:p>
            <w:r/>
            <w:r>
              <w:rPr>
                <w:rFonts w:ascii="Arial" w:hAnsi="Arial"/>
                <w:sz w:val="20"/>
              </w:rPr>
              <w:t>remediation.py</w:t>
            </w:r>
          </w:p>
        </w:tc>
        <w:tc>
          <w:tcPr>
            <w:tcW w:type="dxa" w:w="3888"/>
          </w:tcPr>
          <w:p>
            <w:r/>
            <w:r>
              <w:rPr>
                <w:rFonts w:ascii="Arial" w:hAnsi="Arial"/>
                <w:sz w:val="20"/>
              </w:rPr>
              <w:t>RemediationPlan, RemediationStep</w:t>
            </w:r>
          </w:p>
        </w:tc>
        <w:tc>
          <w:tcPr>
            <w:tcW w:type="dxa" w:w="3600"/>
          </w:tcPr>
          <w:p>
            <w:r/>
            <w:r>
              <w:rPr>
                <w:rFonts w:ascii="Arial" w:hAnsi="Arial"/>
                <w:sz w:val="20"/>
              </w:rPr>
              <w:t>Corrective action plans linked to alerts</w:t>
            </w:r>
          </w:p>
        </w:tc>
      </w:tr>
      <w:tr>
        <w:tc>
          <w:tcPr>
            <w:tcW w:type="dxa" w:w="1872"/>
          </w:tcPr>
          <w:p>
            <w:r/>
            <w:r>
              <w:rPr>
                <w:rFonts w:ascii="Arial" w:hAnsi="Arial"/>
                <w:sz w:val="20"/>
              </w:rPr>
              <w:t>audit.py</w:t>
            </w:r>
          </w:p>
        </w:tc>
        <w:tc>
          <w:tcPr>
            <w:tcW w:type="dxa" w:w="3888"/>
          </w:tcPr>
          <w:p>
            <w:r/>
            <w:r>
              <w:rPr>
                <w:rFonts w:ascii="Arial" w:hAnsi="Arial"/>
                <w:sz w:val="20"/>
              </w:rPr>
              <w:t>AuditReport, AuditTrail</w:t>
            </w:r>
          </w:p>
        </w:tc>
        <w:tc>
          <w:tcPr>
            <w:tcW w:type="dxa" w:w="3600"/>
          </w:tcPr>
          <w:p>
            <w:r/>
            <w:r>
              <w:rPr>
                <w:rFonts w:ascii="Arial" w:hAnsi="Arial"/>
                <w:sz w:val="20"/>
              </w:rPr>
              <w:t>Immutable audit log of all system actions</w:t>
            </w:r>
          </w:p>
        </w:tc>
      </w:tr>
      <w:tr>
        <w:tc>
          <w:tcPr>
            <w:tcW w:type="dxa" w:w="1872"/>
          </w:tcPr>
          <w:p>
            <w:r/>
            <w:r>
              <w:rPr>
                <w:rFonts w:ascii="Arial" w:hAnsi="Arial"/>
                <w:sz w:val="20"/>
              </w:rPr>
              <w:t>evidence.py</w:t>
            </w:r>
          </w:p>
        </w:tc>
        <w:tc>
          <w:tcPr>
            <w:tcW w:type="dxa" w:w="3888"/>
          </w:tcPr>
          <w:p>
            <w:r/>
            <w:r>
              <w:rPr>
                <w:rFonts w:ascii="Arial" w:hAnsi="Arial"/>
                <w:sz w:val="20"/>
              </w:rPr>
              <w:t>EvidenceLocker</w:t>
            </w:r>
          </w:p>
        </w:tc>
        <w:tc>
          <w:tcPr>
            <w:tcW w:type="dxa" w:w="3600"/>
          </w:tcPr>
          <w:p>
            <w:r/>
            <w:r>
              <w:rPr>
                <w:rFonts w:ascii="Arial" w:hAnsi="Arial"/>
                <w:sz w:val="20"/>
              </w:rPr>
              <w:t>Document storage with verification, expiry, and alert linking</w:t>
            </w:r>
          </w:p>
        </w:tc>
      </w:tr>
      <w:tr>
        <w:tc>
          <w:tcPr>
            <w:tcW w:type="dxa" w:w="1872"/>
          </w:tcPr>
          <w:p>
            <w:r/>
            <w:r>
              <w:rPr>
                <w:rFonts w:ascii="Arial" w:hAnsi="Arial"/>
                <w:sz w:val="20"/>
              </w:rPr>
              <w:t>matters.py</w:t>
            </w:r>
          </w:p>
        </w:tc>
        <w:tc>
          <w:tcPr>
            <w:tcW w:type="dxa" w:w="3888"/>
          </w:tcPr>
          <w:p>
            <w:r/>
            <w:r>
              <w:rPr>
                <w:rFonts w:ascii="Arial" w:hAnsi="Arial"/>
                <w:sz w:val="20"/>
              </w:rPr>
              <w:t>MatterChecklist, MatterChecklistItem</w:t>
            </w:r>
          </w:p>
        </w:tc>
        <w:tc>
          <w:tcPr>
            <w:tcW w:type="dxa" w:w="3600"/>
          </w:tcPr>
          <w:p>
            <w:r/>
            <w:r>
              <w:rPr>
                <w:rFonts w:ascii="Arial" w:hAnsi="Arial"/>
                <w:sz w:val="20"/>
              </w:rPr>
              <w:t>Per-matter compliance checklists</w:t>
            </w:r>
          </w:p>
        </w:tc>
      </w:tr>
      <w:tr>
        <w:tc>
          <w:tcPr>
            <w:tcW w:type="dxa" w:w="1872"/>
          </w:tcPr>
          <w:p>
            <w:r/>
            <w:r>
              <w:rPr>
                <w:rFonts w:ascii="Arial" w:hAnsi="Arial"/>
                <w:sz w:val="20"/>
              </w:rPr>
              <w:t>regulatory.py</w:t>
            </w:r>
          </w:p>
        </w:tc>
        <w:tc>
          <w:tcPr>
            <w:tcW w:type="dxa" w:w="3888"/>
          </w:tcPr>
          <w:p>
            <w:r/>
            <w:r>
              <w:rPr>
                <w:rFonts w:ascii="Arial" w:hAnsi="Arial"/>
                <w:sz w:val="20"/>
              </w:rPr>
              <w:t>RegulatoryUpdate, RegulatoryImpactAnalysis</w:t>
            </w:r>
          </w:p>
        </w:tc>
        <w:tc>
          <w:tcPr>
            <w:tcW w:type="dxa" w:w="3600"/>
          </w:tcPr>
          <w:p>
            <w:r/>
            <w:r>
              <w:rPr>
                <w:rFonts w:ascii="Arial" w:hAnsi="Arial"/>
                <w:sz w:val="20"/>
              </w:rPr>
              <w:t>Regulatory feed storage and AI analysis results</w:t>
            </w:r>
          </w:p>
        </w:tc>
      </w:tr>
      <w:tr>
        <w:tc>
          <w:tcPr>
            <w:tcW w:type="dxa" w:w="1872"/>
          </w:tcPr>
          <w:p>
            <w:r/>
            <w:r>
              <w:rPr>
                <w:rFonts w:ascii="Arial" w:hAnsi="Arial"/>
                <w:sz w:val="20"/>
              </w:rPr>
              <w:t>law.py</w:t>
            </w:r>
          </w:p>
        </w:tc>
        <w:tc>
          <w:tcPr>
            <w:tcW w:type="dxa" w:w="3888"/>
          </w:tcPr>
          <w:p>
            <w:r/>
            <w:r>
              <w:rPr>
                <w:rFonts w:ascii="Arial" w:hAnsi="Arial"/>
                <w:sz w:val="20"/>
              </w:rPr>
              <w:t>LawClient, LawCase, LawDeadline, LawDocument, LawCommunication, TimeEntry</w:t>
            </w:r>
          </w:p>
        </w:tc>
        <w:tc>
          <w:tcPr>
            <w:tcW w:type="dxa" w:w="3600"/>
          </w:tcPr>
          <w:p>
            <w:r/>
            <w:r>
              <w:rPr>
                <w:rFonts w:ascii="Arial" w:hAnsi="Arial"/>
                <w:sz w:val="20"/>
              </w:rPr>
              <w:t>Practice management data</w:t>
            </w:r>
          </w:p>
        </w:tc>
      </w:tr>
      <w:tr>
        <w:tc>
          <w:tcPr>
            <w:tcW w:type="dxa" w:w="1872"/>
          </w:tcPr>
          <w:p>
            <w:r/>
            <w:r>
              <w:rPr>
                <w:rFonts w:ascii="Arial" w:hAnsi="Arial"/>
                <w:sz w:val="20"/>
              </w:rPr>
              <w:t>policies.py</w:t>
            </w:r>
          </w:p>
        </w:tc>
        <w:tc>
          <w:tcPr>
            <w:tcW w:type="dxa" w:w="3888"/>
          </w:tcPr>
          <w:p>
            <w:r/>
            <w:r>
              <w:rPr>
                <w:rFonts w:ascii="Arial" w:hAnsi="Arial"/>
                <w:sz w:val="20"/>
              </w:rPr>
              <w:t>PolicyDocument, PolicyUpdateQueue</w:t>
            </w:r>
          </w:p>
        </w:tc>
        <w:tc>
          <w:tcPr>
            <w:tcW w:type="dxa" w:w="3600"/>
          </w:tcPr>
          <w:p>
            <w:r/>
            <w:r>
              <w:rPr>
                <w:rFonts w:ascii="Arial" w:hAnsi="Arial"/>
                <w:sz w:val="20"/>
              </w:rPr>
              <w:t>Version-controlled policies with review scheduling</w:t>
            </w:r>
          </w:p>
        </w:tc>
      </w:tr>
      <w:tr>
        <w:tc>
          <w:tcPr>
            <w:tcW w:type="dxa" w:w="1872"/>
          </w:tcPr>
          <w:p>
            <w:r/>
            <w:r>
              <w:rPr>
                <w:rFonts w:ascii="Arial" w:hAnsi="Arial"/>
                <w:sz w:val="20"/>
              </w:rPr>
              <w:t>email.py</w:t>
            </w:r>
          </w:p>
        </w:tc>
        <w:tc>
          <w:tcPr>
            <w:tcW w:type="dxa" w:w="3888"/>
          </w:tcPr>
          <w:p>
            <w:r/>
            <w:r>
              <w:rPr>
                <w:rFonts w:ascii="Arial" w:hAnsi="Arial"/>
                <w:sz w:val="20"/>
              </w:rPr>
              <w:t>EmailQueue, EmailSettings</w:t>
            </w:r>
          </w:p>
        </w:tc>
        <w:tc>
          <w:tcPr>
            <w:tcW w:type="dxa" w:w="3600"/>
          </w:tcPr>
          <w:p>
            <w:r/>
            <w:r>
              <w:rPr>
                <w:rFonts w:ascii="Arial" w:hAnsi="Arial"/>
                <w:sz w:val="20"/>
              </w:rPr>
              <w:t>Outbound email queue and per-firm chase configuration</w:t>
            </w:r>
          </w:p>
        </w:tc>
      </w:tr>
      <w:tr>
        <w:tc>
          <w:tcPr>
            <w:tcW w:type="dxa" w:w="1872"/>
          </w:tcPr>
          <w:p>
            <w:r/>
            <w:r>
              <w:rPr>
                <w:rFonts w:ascii="Arial" w:hAnsi="Arial"/>
                <w:sz w:val="20"/>
              </w:rPr>
              <w:t>chaser.py</w:t>
            </w:r>
          </w:p>
        </w:tc>
        <w:tc>
          <w:tcPr>
            <w:tcW w:type="dxa" w:w="3888"/>
          </w:tcPr>
          <w:p>
            <w:r/>
            <w:r>
              <w:rPr>
                <w:rFonts w:ascii="Arial" w:hAnsi="Arial"/>
                <w:sz w:val="20"/>
              </w:rPr>
              <w:t>ChaserLog</w:t>
            </w:r>
          </w:p>
        </w:tc>
        <w:tc>
          <w:tcPr>
            <w:tcW w:type="dxa" w:w="3600"/>
          </w:tcPr>
          <w:p>
            <w:r/>
            <w:r>
              <w:rPr>
                <w:rFonts w:ascii="Arial" w:hAnsi="Arial"/>
                <w:sz w:val="20"/>
              </w:rPr>
              <w:t>Record of all automated chase emails sent</w:t>
            </w:r>
          </w:p>
        </w:tc>
      </w:tr>
      <w:tr>
        <w:tc>
          <w:tcPr>
            <w:tcW w:type="dxa" w:w="1872"/>
          </w:tcPr>
          <w:p>
            <w:r/>
            <w:r>
              <w:rPr>
                <w:rFonts w:ascii="Arial" w:hAnsi="Arial"/>
                <w:sz w:val="20"/>
              </w:rPr>
              <w:t>workflow.py</w:t>
            </w:r>
          </w:p>
        </w:tc>
        <w:tc>
          <w:tcPr>
            <w:tcW w:type="dxa" w:w="3888"/>
          </w:tcPr>
          <w:p>
            <w:r/>
            <w:r>
              <w:rPr>
                <w:rFonts w:ascii="Arial" w:hAnsi="Arial"/>
                <w:sz w:val="20"/>
              </w:rPr>
              <w:t>Industry, Workflow, WorkflowStep, WorkflowRun</w:t>
            </w:r>
          </w:p>
        </w:tc>
        <w:tc>
          <w:tcPr>
            <w:tcW w:type="dxa" w:w="3600"/>
          </w:tcPr>
          <w:p>
            <w:r/>
            <w:r>
              <w:rPr>
                <w:rFonts w:ascii="Arial" w:hAnsi="Arial"/>
                <w:sz w:val="20"/>
              </w:rPr>
              <w:t>Configurable workflow engine</w:t>
            </w:r>
          </w:p>
        </w:tc>
      </w:tr>
      <w:tr>
        <w:tc>
          <w:tcPr>
            <w:tcW w:type="dxa" w:w="1872"/>
          </w:tcPr>
          <w:p>
            <w:r/>
            <w:r>
              <w:rPr>
                <w:rFonts w:ascii="Arial" w:hAnsi="Arial"/>
                <w:sz w:val="20"/>
              </w:rPr>
              <w:t>data_mgmt.py</w:t>
            </w:r>
          </w:p>
        </w:tc>
        <w:tc>
          <w:tcPr>
            <w:tcW w:type="dxa" w:w="3888"/>
          </w:tcPr>
          <w:p>
            <w:r/>
            <w:r>
              <w:rPr>
                <w:rFonts w:ascii="Arial" w:hAnsi="Arial"/>
                <w:sz w:val="20"/>
              </w:rPr>
              <w:t>ImportLog</w:t>
            </w:r>
          </w:p>
        </w:tc>
        <w:tc>
          <w:tcPr>
            <w:tcW w:type="dxa" w:w="3600"/>
          </w:tcPr>
          <w:p>
            <w:r/>
            <w:r>
              <w:rPr>
                <w:rFonts w:ascii="Arial" w:hAnsi="Arial"/>
                <w:sz w:val="20"/>
              </w:rPr>
              <w:t>Data import tracking and validation</w:t>
            </w:r>
          </w:p>
        </w:tc>
      </w:tr>
    </w:tbl>
    <w:p/>
    <w:p>
      <w:pPr>
        <w:pStyle w:val="Heading2"/>
      </w:pPr>
      <w:r>
        <w:t>6.2 Key Field Conventions</w:t>
      </w:r>
    </w:p>
    <w:p>
      <w:r>
        <w:t>These conventions are critical. Several bugs were caused by incorrect field references, so please note:</w:t>
      </w:r>
    </w:p>
    <w:tbl>
      <w:tblPr>
        <w:tblStyle w:val="TableGrid"/>
        <w:tblW w:type="auto" w:w="0"/>
        <w:jc w:val="center"/>
        <w:tblLook w:firstColumn="1" w:firstRow="1" w:lastColumn="0" w:lastRow="0" w:noHBand="0" w:noVBand="1" w:val="04A0"/>
      </w:tblPr>
      <w:tblGrid>
        <w:gridCol w:w="4680"/>
        <w:gridCol w:w="4680"/>
      </w:tblGrid>
      <w:tr>
        <w:tc>
          <w:tcPr>
            <w:tcW w:type="dxa" w:w="3600"/>
            <w:shd w:fill="1a1a2e" w:color="auto" w:val="clear"/>
          </w:tcPr>
          <w:p>
            <w:r/>
            <w:r>
              <w:rPr>
                <w:rFonts w:ascii="Arial" w:hAnsi="Arial"/>
                <w:b/>
                <w:color w:val="FFFFFF"/>
                <w:sz w:val="20"/>
              </w:rPr>
              <w:t>Field / Model</w:t>
            </w:r>
          </w:p>
        </w:tc>
        <w:tc>
          <w:tcPr>
            <w:tcW w:type="dxa" w:w="5760"/>
            <w:shd w:fill="1a1a2e" w:color="auto" w:val="clear"/>
          </w:tcPr>
          <w:p>
            <w:r/>
            <w:r>
              <w:rPr>
                <w:rFonts w:ascii="Arial" w:hAnsi="Arial"/>
                <w:b/>
                <w:color w:val="FFFFFF"/>
                <w:sz w:val="20"/>
              </w:rPr>
              <w:t>Notes</w:t>
            </w:r>
          </w:p>
        </w:tc>
      </w:tr>
      <w:tr>
        <w:tc>
          <w:tcPr>
            <w:tcW w:type="dxa" w:w="3600"/>
          </w:tcPr>
          <w:p>
            <w:r/>
            <w:r>
              <w:rPr>
                <w:rFonts w:ascii="Arial" w:hAnsi="Arial"/>
                <w:sz w:val="20"/>
              </w:rPr>
              <w:t>Firm.is_active</w:t>
            </w:r>
          </w:p>
        </w:tc>
        <w:tc>
          <w:tcPr>
            <w:tcW w:type="dxa" w:w="5760"/>
          </w:tcPr>
          <w:p>
            <w:r/>
            <w:r>
              <w:rPr>
                <w:rFonts w:ascii="Arial" w:hAnsi="Arial"/>
                <w:sz w:val="20"/>
              </w:rPr>
              <w:t>Boolean field. Do NOT query Firm.status — it does not exist.</w:t>
            </w:r>
          </w:p>
        </w:tc>
      </w:tr>
      <w:tr>
        <w:tc>
          <w:tcPr>
            <w:tcW w:type="dxa" w:w="3600"/>
          </w:tcPr>
          <w:p>
            <w:r/>
            <w:r>
              <w:rPr>
                <w:rFonts w:ascii="Arial" w:hAnsi="Arial"/>
                <w:sz w:val="20"/>
              </w:rPr>
              <w:t>ClientIntake.assessed_by</w:t>
            </w:r>
          </w:p>
        </w:tc>
        <w:tc>
          <w:tcPr>
            <w:tcW w:type="dxa" w:w="5760"/>
          </w:tcPr>
          <w:p>
            <w:r/>
            <w:r>
              <w:rPr>
                <w:rFonts w:ascii="Arial" w:hAnsi="Arial"/>
                <w:sz w:val="20"/>
              </w:rPr>
              <w:t>Staff member who assessed the intake. NOT assigned_to.</w:t>
            </w:r>
          </w:p>
        </w:tc>
      </w:tr>
      <w:tr>
        <w:tc>
          <w:tcPr>
            <w:tcW w:type="dxa" w:w="3600"/>
          </w:tcPr>
          <w:p>
            <w:r/>
            <w:r>
              <w:rPr>
                <w:rFonts w:ascii="Arial" w:hAnsi="Arial"/>
                <w:sz w:val="20"/>
              </w:rPr>
              <w:t>ClientIntake.cdd_status</w:t>
            </w:r>
          </w:p>
        </w:tc>
        <w:tc>
          <w:tcPr>
            <w:tcW w:type="dxa" w:w="5760"/>
          </w:tcPr>
          <w:p>
            <w:r/>
            <w:r>
              <w:rPr>
                <w:rFonts w:ascii="Arial" w:hAnsi="Arial"/>
                <w:sz w:val="20"/>
              </w:rPr>
              <w:t>CDD completion status string. NOT cdd_complete (boolean).</w:t>
            </w:r>
          </w:p>
        </w:tc>
      </w:tr>
      <w:tr>
        <w:tc>
          <w:tcPr>
            <w:tcW w:type="dxa" w:w="3600"/>
          </w:tcPr>
          <w:p>
            <w:r/>
            <w:r>
              <w:rPr>
                <w:rFonts w:ascii="Arial" w:hAnsi="Arial"/>
                <w:sz w:val="20"/>
              </w:rPr>
              <w:t>RiskScore.overall_score</w:t>
            </w:r>
          </w:p>
        </w:tc>
        <w:tc>
          <w:tcPr>
            <w:tcW w:type="dxa" w:w="5760"/>
          </w:tcPr>
          <w:p>
            <w:r/>
            <w:r>
              <w:rPr>
                <w:rFonts w:ascii="Arial" w:hAnsi="Arial"/>
                <w:sz w:val="20"/>
              </w:rPr>
              <w:t>The numeric risk score. NOT risk_score.</w:t>
            </w:r>
          </w:p>
        </w:tc>
      </w:tr>
      <w:tr>
        <w:tc>
          <w:tcPr>
            <w:tcW w:type="dxa" w:w="3600"/>
          </w:tcPr>
          <w:p>
            <w:r/>
            <w:r>
              <w:rPr>
                <w:rFonts w:ascii="Arial" w:hAnsi="Arial"/>
                <w:sz w:val="20"/>
              </w:rPr>
              <w:t>RegulatoryUpdate.published_date</w:t>
            </w:r>
          </w:p>
        </w:tc>
        <w:tc>
          <w:tcPr>
            <w:tcW w:type="dxa" w:w="5760"/>
          </w:tcPr>
          <w:p>
            <w:r/>
            <w:r>
              <w:rPr>
                <w:rFonts w:ascii="Arial" w:hAnsi="Arial"/>
                <w:sz w:val="20"/>
              </w:rPr>
              <w:t>When the update was published. NOT scraped_at.</w:t>
            </w:r>
          </w:p>
        </w:tc>
      </w:tr>
      <w:tr>
        <w:tc>
          <w:tcPr>
            <w:tcW w:type="dxa" w:w="3600"/>
          </w:tcPr>
          <w:p>
            <w:r/>
            <w:r>
              <w:rPr>
                <w:rFonts w:ascii="Arial" w:hAnsi="Arial"/>
                <w:sz w:val="20"/>
              </w:rPr>
              <w:t>All tenant tables</w:t>
            </w:r>
          </w:p>
        </w:tc>
        <w:tc>
          <w:tcPr>
            <w:tcW w:type="dxa" w:w="5760"/>
          </w:tcPr>
          <w:p>
            <w:r/>
            <w:r>
              <w:rPr>
                <w:rFonts w:ascii="Arial" w:hAnsi="Arial"/>
                <w:sz w:val="20"/>
              </w:rPr>
              <w:t>Must include firm_id column. All queries must use TenantQuery.</w:t>
            </w:r>
          </w:p>
        </w:tc>
      </w:tr>
    </w:tbl>
    <w:p/>
    <w:p>
      <w:r>
        <w:br w:type="page"/>
      </w:r>
    </w:p>
    <w:p>
      <w:pPr>
        <w:pStyle w:val="Heading1"/>
      </w:pPr>
      <w:r>
        <w:t>7. Backend API</w:t>
      </w:r>
    </w:p>
    <w:p>
      <w:r>
        <w:t>The API exposes 120+ RESTful endpoints across 21 router modules, all mounted under the /api prefix. Every endpoint (except /auth/login and /health) requires a valid JWT access token in the Authorization header.</w:t>
      </w:r>
    </w:p>
    <w:p>
      <w:pPr>
        <w:pStyle w:val="Heading2"/>
      </w:pPr>
      <w:r>
        <w:t>7.1 Router Inventory</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a1a2e" w:color="auto" w:val="clear"/>
          </w:tcPr>
          <w:p>
            <w:r/>
            <w:r>
              <w:rPr>
                <w:rFonts w:ascii="Arial" w:hAnsi="Arial"/>
                <w:b/>
                <w:color w:val="FFFFFF"/>
                <w:sz w:val="20"/>
              </w:rPr>
              <w:t>Router</w:t>
            </w:r>
          </w:p>
        </w:tc>
        <w:tc>
          <w:tcPr>
            <w:tcW w:type="dxa" w:w="3168"/>
            <w:shd w:fill="1a1a2e" w:color="auto" w:val="clear"/>
          </w:tcPr>
          <w:p>
            <w:r/>
            <w:r>
              <w:rPr>
                <w:rFonts w:ascii="Arial" w:hAnsi="Arial"/>
                <w:b/>
                <w:color w:val="FFFFFF"/>
                <w:sz w:val="20"/>
              </w:rPr>
              <w:t>Base Path</w:t>
            </w:r>
          </w:p>
        </w:tc>
        <w:tc>
          <w:tcPr>
            <w:tcW w:type="dxa" w:w="4320"/>
            <w:shd w:fill="1a1a2e" w:color="auto" w:val="clear"/>
          </w:tcPr>
          <w:p>
            <w:r/>
            <w:r>
              <w:rPr>
                <w:rFonts w:ascii="Arial" w:hAnsi="Arial"/>
                <w:b/>
                <w:color w:val="FFFFFF"/>
                <w:sz w:val="20"/>
              </w:rPr>
              <w:t>Endpoints</w:t>
            </w:r>
          </w:p>
        </w:tc>
      </w:tr>
      <w:tr>
        <w:tc>
          <w:tcPr>
            <w:tcW w:type="dxa" w:w="1872"/>
          </w:tcPr>
          <w:p>
            <w:r/>
            <w:r>
              <w:rPr>
                <w:rFonts w:ascii="Arial" w:hAnsi="Arial"/>
                <w:sz w:val="20"/>
              </w:rPr>
              <w:t>auth.py</w:t>
            </w:r>
          </w:p>
        </w:tc>
        <w:tc>
          <w:tcPr>
            <w:tcW w:type="dxa" w:w="3168"/>
          </w:tcPr>
          <w:p>
            <w:r/>
            <w:r>
              <w:rPr>
                <w:rFonts w:ascii="Arial" w:hAnsi="Arial"/>
                <w:sz w:val="20"/>
              </w:rPr>
              <w:t>/api/auth/*</w:t>
            </w:r>
          </w:p>
        </w:tc>
        <w:tc>
          <w:tcPr>
            <w:tcW w:type="dxa" w:w="4320"/>
          </w:tcPr>
          <w:p>
            <w:r/>
            <w:r>
              <w:rPr>
                <w:rFonts w:ascii="Arial" w:hAnsi="Arial"/>
                <w:sz w:val="20"/>
              </w:rPr>
              <w:t>Login, logout, refresh, password reset, user registration</w:t>
            </w:r>
          </w:p>
        </w:tc>
      </w:tr>
      <w:tr>
        <w:tc>
          <w:tcPr>
            <w:tcW w:type="dxa" w:w="1872"/>
          </w:tcPr>
          <w:p>
            <w:r/>
            <w:r>
              <w:rPr>
                <w:rFonts w:ascii="Arial" w:hAnsi="Arial"/>
                <w:sz w:val="20"/>
              </w:rPr>
              <w:t>dashboard.py</w:t>
            </w:r>
          </w:p>
        </w:tc>
        <w:tc>
          <w:tcPr>
            <w:tcW w:type="dxa" w:w="3168"/>
          </w:tcPr>
          <w:p>
            <w:r/>
            <w:r>
              <w:rPr>
                <w:rFonts w:ascii="Arial" w:hAnsi="Arial"/>
                <w:sz w:val="20"/>
              </w:rPr>
              <w:t>/api/dashboard/*</w:t>
            </w:r>
          </w:p>
        </w:tc>
        <w:tc>
          <w:tcPr>
            <w:tcW w:type="dxa" w:w="4320"/>
          </w:tcPr>
          <w:p>
            <w:r/>
            <w:r>
              <w:rPr>
                <w:rFonts w:ascii="Arial" w:hAnsi="Arial"/>
                <w:sz w:val="20"/>
              </w:rPr>
              <w:t>Stats summary, daily briefing, action items</w:t>
            </w:r>
          </w:p>
        </w:tc>
      </w:tr>
      <w:tr>
        <w:tc>
          <w:tcPr>
            <w:tcW w:type="dxa" w:w="1872"/>
          </w:tcPr>
          <w:p>
            <w:r/>
            <w:r>
              <w:rPr>
                <w:rFonts w:ascii="Arial" w:hAnsi="Arial"/>
                <w:sz w:val="20"/>
              </w:rPr>
              <w:t>compliance.py</w:t>
            </w:r>
          </w:p>
        </w:tc>
        <w:tc>
          <w:tcPr>
            <w:tcW w:type="dxa" w:w="3168"/>
          </w:tcPr>
          <w:p>
            <w:r/>
            <w:r>
              <w:rPr>
                <w:rFonts w:ascii="Arial" w:hAnsi="Arial"/>
                <w:sz w:val="20"/>
              </w:rPr>
              <w:t>/api/compliance/*</w:t>
            </w:r>
          </w:p>
        </w:tc>
        <w:tc>
          <w:tcPr>
            <w:tcW w:type="dxa" w:w="4320"/>
          </w:tcPr>
          <w:p>
            <w:r/>
            <w:r>
              <w:rPr>
                <w:rFonts w:ascii="Arial" w:hAnsi="Arial"/>
                <w:sz w:val="20"/>
              </w:rPr>
              <w:t>Alerts, checks, tasks, risk scores, SRA audit items, compliance scan</w:t>
            </w:r>
          </w:p>
        </w:tc>
      </w:tr>
      <w:tr>
        <w:tc>
          <w:tcPr>
            <w:tcW w:type="dxa" w:w="1872"/>
          </w:tcPr>
          <w:p>
            <w:r/>
            <w:r>
              <w:rPr>
                <w:rFonts w:ascii="Arial" w:hAnsi="Arial"/>
                <w:sz w:val="20"/>
              </w:rPr>
              <w:t>staff.py</w:t>
            </w:r>
          </w:p>
        </w:tc>
        <w:tc>
          <w:tcPr>
            <w:tcW w:type="dxa" w:w="3168"/>
          </w:tcPr>
          <w:p>
            <w:r/>
            <w:r>
              <w:rPr>
                <w:rFonts w:ascii="Arial" w:hAnsi="Arial"/>
                <w:sz w:val="20"/>
              </w:rPr>
              <w:t>/api/staff/*</w:t>
            </w:r>
          </w:p>
        </w:tc>
        <w:tc>
          <w:tcPr>
            <w:tcW w:type="dxa" w:w="4320"/>
          </w:tcPr>
          <w:p>
            <w:r/>
            <w:r>
              <w:rPr>
                <w:rFonts w:ascii="Arial" w:hAnsi="Arial"/>
                <w:sz w:val="20"/>
              </w:rPr>
              <w:t>Staff CRUD, training records, file review assignments</w:t>
            </w:r>
          </w:p>
        </w:tc>
      </w:tr>
      <w:tr>
        <w:tc>
          <w:tcPr>
            <w:tcW w:type="dxa" w:w="1872"/>
          </w:tcPr>
          <w:p>
            <w:r/>
            <w:r>
              <w:rPr>
                <w:rFonts w:ascii="Arial" w:hAnsi="Arial"/>
                <w:sz w:val="20"/>
              </w:rPr>
              <w:t>intake.py</w:t>
            </w:r>
          </w:p>
        </w:tc>
        <w:tc>
          <w:tcPr>
            <w:tcW w:type="dxa" w:w="3168"/>
          </w:tcPr>
          <w:p>
            <w:r/>
            <w:r>
              <w:rPr>
                <w:rFonts w:ascii="Arial" w:hAnsi="Arial"/>
                <w:sz w:val="20"/>
              </w:rPr>
              <w:t>/api/intake/*</w:t>
            </w:r>
          </w:p>
        </w:tc>
        <w:tc>
          <w:tcPr>
            <w:tcW w:type="dxa" w:w="4320"/>
          </w:tcPr>
          <w:p>
            <w:r/>
            <w:r>
              <w:rPr>
                <w:rFonts w:ascii="Arial" w:hAnsi="Arial"/>
                <w:sz w:val="20"/>
              </w:rPr>
              <w:t>Client intake creation, risk assessment, approval workflow</w:t>
            </w:r>
          </w:p>
        </w:tc>
      </w:tr>
      <w:tr>
        <w:tc>
          <w:tcPr>
            <w:tcW w:type="dxa" w:w="1872"/>
          </w:tcPr>
          <w:p>
            <w:r/>
            <w:r>
              <w:rPr>
                <w:rFonts w:ascii="Arial" w:hAnsi="Arial"/>
                <w:sz w:val="20"/>
              </w:rPr>
              <w:t>policies.py</w:t>
            </w:r>
          </w:p>
        </w:tc>
        <w:tc>
          <w:tcPr>
            <w:tcW w:type="dxa" w:w="3168"/>
          </w:tcPr>
          <w:p>
            <w:r/>
            <w:r>
              <w:rPr>
                <w:rFonts w:ascii="Arial" w:hAnsi="Arial"/>
                <w:sz w:val="20"/>
              </w:rPr>
              <w:t>/api/policies/*</w:t>
            </w:r>
          </w:p>
        </w:tc>
        <w:tc>
          <w:tcPr>
            <w:tcW w:type="dxa" w:w="4320"/>
          </w:tcPr>
          <w:p>
            <w:r/>
            <w:r>
              <w:rPr>
                <w:rFonts w:ascii="Arial" w:hAnsi="Arial"/>
                <w:sz w:val="20"/>
              </w:rPr>
              <w:t>Policy CRUD, version history, template generation</w:t>
            </w:r>
          </w:p>
        </w:tc>
      </w:tr>
      <w:tr>
        <w:tc>
          <w:tcPr>
            <w:tcW w:type="dxa" w:w="1872"/>
          </w:tcPr>
          <w:p>
            <w:r/>
            <w:r>
              <w:rPr>
                <w:rFonts w:ascii="Arial" w:hAnsi="Arial"/>
                <w:sz w:val="20"/>
              </w:rPr>
              <w:t>breach.py</w:t>
            </w:r>
          </w:p>
        </w:tc>
        <w:tc>
          <w:tcPr>
            <w:tcW w:type="dxa" w:w="3168"/>
          </w:tcPr>
          <w:p>
            <w:r/>
            <w:r>
              <w:rPr>
                <w:rFonts w:ascii="Arial" w:hAnsi="Arial"/>
                <w:sz w:val="20"/>
              </w:rPr>
              <w:t>/api/breach/*</w:t>
            </w:r>
          </w:p>
        </w:tc>
        <w:tc>
          <w:tcPr>
            <w:tcW w:type="dxa" w:w="4320"/>
          </w:tcPr>
          <w:p>
            <w:r/>
            <w:r>
              <w:rPr>
                <w:rFonts w:ascii="Arial" w:hAnsi="Arial"/>
                <w:sz w:val="20"/>
              </w:rPr>
              <w:t>Breach creation, severity assessment, ICO notification, remediation</w:t>
            </w:r>
          </w:p>
        </w:tc>
      </w:tr>
      <w:tr>
        <w:tc>
          <w:tcPr>
            <w:tcW w:type="dxa" w:w="1872"/>
          </w:tcPr>
          <w:p>
            <w:r/>
            <w:r>
              <w:rPr>
                <w:rFonts w:ascii="Arial" w:hAnsi="Arial"/>
                <w:sz w:val="20"/>
              </w:rPr>
              <w:t>regulatory.py</w:t>
            </w:r>
          </w:p>
        </w:tc>
        <w:tc>
          <w:tcPr>
            <w:tcW w:type="dxa" w:w="3168"/>
          </w:tcPr>
          <w:p>
            <w:r/>
            <w:r>
              <w:rPr>
                <w:rFonts w:ascii="Arial" w:hAnsi="Arial"/>
                <w:sz w:val="20"/>
              </w:rPr>
              <w:t>/api/regulatory/*</w:t>
            </w:r>
          </w:p>
        </w:tc>
        <w:tc>
          <w:tcPr>
            <w:tcW w:type="dxa" w:w="4320"/>
          </w:tcPr>
          <w:p>
            <w:r/>
            <w:r>
              <w:rPr>
                <w:rFonts w:ascii="Arial" w:hAnsi="Arial"/>
                <w:sz w:val="20"/>
              </w:rPr>
              <w:t>Regulatory feed, manual scan trigger, AI impact analysis</w:t>
            </w:r>
          </w:p>
        </w:tc>
      </w:tr>
      <w:tr>
        <w:tc>
          <w:tcPr>
            <w:tcW w:type="dxa" w:w="1872"/>
          </w:tcPr>
          <w:p>
            <w:r/>
            <w:r>
              <w:rPr>
                <w:rFonts w:ascii="Arial" w:hAnsi="Arial"/>
                <w:sz w:val="20"/>
              </w:rPr>
              <w:t>remediation.py</w:t>
            </w:r>
          </w:p>
        </w:tc>
        <w:tc>
          <w:tcPr>
            <w:tcW w:type="dxa" w:w="3168"/>
          </w:tcPr>
          <w:p>
            <w:r/>
            <w:r>
              <w:rPr>
                <w:rFonts w:ascii="Arial" w:hAnsi="Arial"/>
                <w:sz w:val="20"/>
              </w:rPr>
              <w:t>/api/remediation/*</w:t>
            </w:r>
          </w:p>
        </w:tc>
        <w:tc>
          <w:tcPr>
            <w:tcW w:type="dxa" w:w="4320"/>
          </w:tcPr>
          <w:p>
            <w:r/>
            <w:r>
              <w:rPr>
                <w:rFonts w:ascii="Arial" w:hAnsi="Arial"/>
                <w:sz w:val="20"/>
              </w:rPr>
              <w:t>Remediation plan CRUD, step tracking, status updates</w:t>
            </w:r>
          </w:p>
        </w:tc>
      </w:tr>
      <w:tr>
        <w:tc>
          <w:tcPr>
            <w:tcW w:type="dxa" w:w="1872"/>
          </w:tcPr>
          <w:p>
            <w:r/>
            <w:r>
              <w:rPr>
                <w:rFonts w:ascii="Arial" w:hAnsi="Arial"/>
                <w:sz w:val="20"/>
              </w:rPr>
              <w:t>evidence.py</w:t>
            </w:r>
          </w:p>
        </w:tc>
        <w:tc>
          <w:tcPr>
            <w:tcW w:type="dxa" w:w="3168"/>
          </w:tcPr>
          <w:p>
            <w:r/>
            <w:r>
              <w:rPr>
                <w:rFonts w:ascii="Arial" w:hAnsi="Arial"/>
                <w:sz w:val="20"/>
              </w:rPr>
              <w:t>/api/evidence/*</w:t>
            </w:r>
          </w:p>
        </w:tc>
        <w:tc>
          <w:tcPr>
            <w:tcW w:type="dxa" w:w="4320"/>
          </w:tcPr>
          <w:p>
            <w:r/>
            <w:r>
              <w:rPr>
                <w:rFonts w:ascii="Arial" w:hAnsi="Arial"/>
                <w:sz w:val="20"/>
              </w:rPr>
              <w:t>File upload/download, metadata, verification, alert linking</w:t>
            </w:r>
          </w:p>
        </w:tc>
      </w:tr>
      <w:tr>
        <w:tc>
          <w:tcPr>
            <w:tcW w:type="dxa" w:w="1872"/>
          </w:tcPr>
          <w:p>
            <w:r/>
            <w:r>
              <w:rPr>
                <w:rFonts w:ascii="Arial" w:hAnsi="Arial"/>
                <w:sz w:val="20"/>
              </w:rPr>
              <w:t>audit.py</w:t>
            </w:r>
          </w:p>
        </w:tc>
        <w:tc>
          <w:tcPr>
            <w:tcW w:type="dxa" w:w="3168"/>
          </w:tcPr>
          <w:p>
            <w:r/>
            <w:r>
              <w:rPr>
                <w:rFonts w:ascii="Arial" w:hAnsi="Arial"/>
                <w:sz w:val="20"/>
              </w:rPr>
              <w:t>/api/audit/*</w:t>
            </w:r>
          </w:p>
        </w:tc>
        <w:tc>
          <w:tcPr>
            <w:tcW w:type="dxa" w:w="4320"/>
          </w:tcPr>
          <w:p>
            <w:r/>
            <w:r>
              <w:rPr>
                <w:rFonts w:ascii="Arial" w:hAnsi="Arial"/>
                <w:sz w:val="20"/>
              </w:rPr>
              <w:t>Audit report generation, trail query, CSV export</w:t>
            </w:r>
          </w:p>
        </w:tc>
      </w:tr>
      <w:tr>
        <w:tc>
          <w:tcPr>
            <w:tcW w:type="dxa" w:w="1872"/>
          </w:tcPr>
          <w:p>
            <w:r/>
            <w:r>
              <w:rPr>
                <w:rFonts w:ascii="Arial" w:hAnsi="Arial"/>
                <w:sz w:val="20"/>
              </w:rPr>
              <w:t>deadlines.py</w:t>
            </w:r>
          </w:p>
        </w:tc>
        <w:tc>
          <w:tcPr>
            <w:tcW w:type="dxa" w:w="3168"/>
          </w:tcPr>
          <w:p>
            <w:r/>
            <w:r>
              <w:rPr>
                <w:rFonts w:ascii="Arial" w:hAnsi="Arial"/>
                <w:sz w:val="20"/>
              </w:rPr>
              <w:t>/api/deadlines/*</w:t>
            </w:r>
          </w:p>
        </w:tc>
        <w:tc>
          <w:tcPr>
            <w:tcW w:type="dxa" w:w="4320"/>
          </w:tcPr>
          <w:p>
            <w:r/>
            <w:r>
              <w:rPr>
                <w:rFonts w:ascii="Arial" w:hAnsi="Arial"/>
                <w:sz w:val="20"/>
              </w:rPr>
              <w:t>Deadline listing (combines law deadlines + compliance tasks)</w:t>
            </w:r>
          </w:p>
        </w:tc>
      </w:tr>
      <w:tr>
        <w:tc>
          <w:tcPr>
            <w:tcW w:type="dxa" w:w="1872"/>
          </w:tcPr>
          <w:p>
            <w:r/>
            <w:r>
              <w:rPr>
                <w:rFonts w:ascii="Arial" w:hAnsi="Arial"/>
                <w:sz w:val="20"/>
              </w:rPr>
              <w:t>chasers.py</w:t>
            </w:r>
          </w:p>
        </w:tc>
        <w:tc>
          <w:tcPr>
            <w:tcW w:type="dxa" w:w="3168"/>
          </w:tcPr>
          <w:p>
            <w:r/>
            <w:r>
              <w:rPr>
                <w:rFonts w:ascii="Arial" w:hAnsi="Arial"/>
                <w:sz w:val="20"/>
              </w:rPr>
              <w:t>/api/chasers/*</w:t>
            </w:r>
          </w:p>
        </w:tc>
        <w:tc>
          <w:tcPr>
            <w:tcW w:type="dxa" w:w="4320"/>
          </w:tcPr>
          <w:p>
            <w:r/>
            <w:r>
              <w:rPr>
                <w:rFonts w:ascii="Arial" w:hAnsi="Arial"/>
                <w:sz w:val="20"/>
              </w:rPr>
              <w:t>Chase log viewing, manual chase trigger, statistics</w:t>
            </w:r>
          </w:p>
        </w:tc>
      </w:tr>
      <w:tr>
        <w:tc>
          <w:tcPr>
            <w:tcW w:type="dxa" w:w="1872"/>
          </w:tcPr>
          <w:p>
            <w:r/>
            <w:r>
              <w:rPr>
                <w:rFonts w:ascii="Arial" w:hAnsi="Arial"/>
                <w:sz w:val="20"/>
              </w:rPr>
              <w:t>supervision.py</w:t>
            </w:r>
          </w:p>
        </w:tc>
        <w:tc>
          <w:tcPr>
            <w:tcW w:type="dxa" w:w="3168"/>
          </w:tcPr>
          <w:p>
            <w:r/>
            <w:r>
              <w:rPr>
                <w:rFonts w:ascii="Arial" w:hAnsi="Arial"/>
                <w:sz w:val="20"/>
              </w:rPr>
              <w:t>/api/compliance/supervision/*</w:t>
            </w:r>
          </w:p>
        </w:tc>
        <w:tc>
          <w:tcPr>
            <w:tcW w:type="dxa" w:w="4320"/>
          </w:tcPr>
          <w:p>
            <w:r/>
            <w:r>
              <w:rPr>
                <w:rFonts w:ascii="Arial" w:hAnsi="Arial"/>
                <w:sz w:val="20"/>
              </w:rPr>
              <w:t>Supervision schedule CRUD, overdue detection, completion</w:t>
            </w:r>
          </w:p>
        </w:tc>
      </w:tr>
      <w:tr>
        <w:tc>
          <w:tcPr>
            <w:tcW w:type="dxa" w:w="1872"/>
          </w:tcPr>
          <w:p>
            <w:r/>
            <w:r>
              <w:rPr>
                <w:rFonts w:ascii="Arial" w:hAnsi="Arial"/>
                <w:sz w:val="20"/>
              </w:rPr>
              <w:t>matters.py</w:t>
            </w:r>
          </w:p>
        </w:tc>
        <w:tc>
          <w:tcPr>
            <w:tcW w:type="dxa" w:w="3168"/>
          </w:tcPr>
          <w:p>
            <w:r/>
            <w:r>
              <w:rPr>
                <w:rFonts w:ascii="Arial" w:hAnsi="Arial"/>
                <w:sz w:val="20"/>
              </w:rPr>
              <w:t>/api/matters/*</w:t>
            </w:r>
          </w:p>
        </w:tc>
        <w:tc>
          <w:tcPr>
            <w:tcW w:type="dxa" w:w="4320"/>
          </w:tcPr>
          <w:p>
            <w:r/>
            <w:r>
              <w:rPr>
                <w:rFonts w:ascii="Arial" w:hAnsi="Arial"/>
                <w:sz w:val="20"/>
              </w:rPr>
              <w:t>Matter checklist CRUD, item completion, progress tracking</w:t>
            </w:r>
          </w:p>
        </w:tc>
      </w:tr>
      <w:tr>
        <w:tc>
          <w:tcPr>
            <w:tcW w:type="dxa" w:w="1872"/>
          </w:tcPr>
          <w:p>
            <w:r/>
            <w:r>
              <w:rPr>
                <w:rFonts w:ascii="Arial" w:hAnsi="Arial"/>
                <w:sz w:val="20"/>
              </w:rPr>
              <w:t>email_admin.py</w:t>
            </w:r>
          </w:p>
        </w:tc>
        <w:tc>
          <w:tcPr>
            <w:tcW w:type="dxa" w:w="3168"/>
          </w:tcPr>
          <w:p>
            <w:r/>
            <w:r>
              <w:rPr>
                <w:rFonts w:ascii="Arial" w:hAnsi="Arial"/>
                <w:sz w:val="20"/>
              </w:rPr>
              <w:t>/api/email/*</w:t>
            </w:r>
          </w:p>
        </w:tc>
        <w:tc>
          <w:tcPr>
            <w:tcW w:type="dxa" w:w="4320"/>
          </w:tcPr>
          <w:p>
            <w:r/>
            <w:r>
              <w:rPr>
                <w:rFonts w:ascii="Arial" w:hAnsi="Arial"/>
                <w:sz w:val="20"/>
              </w:rPr>
              <w:t>Email settings per firm, queue management, send history</w:t>
            </w:r>
          </w:p>
        </w:tc>
      </w:tr>
      <w:tr>
        <w:tc>
          <w:tcPr>
            <w:tcW w:type="dxa" w:w="1872"/>
          </w:tcPr>
          <w:p>
            <w:r/>
            <w:r>
              <w:rPr>
                <w:rFonts w:ascii="Arial" w:hAnsi="Arial"/>
                <w:sz w:val="20"/>
              </w:rPr>
              <w:t>data_mgmt.py</w:t>
            </w:r>
          </w:p>
        </w:tc>
        <w:tc>
          <w:tcPr>
            <w:tcW w:type="dxa" w:w="3168"/>
          </w:tcPr>
          <w:p>
            <w:r/>
            <w:r>
              <w:rPr>
                <w:rFonts w:ascii="Arial" w:hAnsi="Arial"/>
                <w:sz w:val="20"/>
              </w:rPr>
              <w:t>/api/data/*</w:t>
            </w:r>
          </w:p>
        </w:tc>
        <w:tc>
          <w:tcPr>
            <w:tcW w:type="dxa" w:w="4320"/>
          </w:tcPr>
          <w:p>
            <w:r/>
            <w:r>
              <w:rPr>
                <w:rFonts w:ascii="Arial" w:hAnsi="Arial"/>
                <w:sz w:val="20"/>
              </w:rPr>
              <w:t>CSV/JSON import, data export, demo data seeding</w:t>
            </w:r>
          </w:p>
        </w:tc>
      </w:tr>
      <w:tr>
        <w:tc>
          <w:tcPr>
            <w:tcW w:type="dxa" w:w="1872"/>
          </w:tcPr>
          <w:p>
            <w:r/>
            <w:r>
              <w:rPr>
                <w:rFonts w:ascii="Arial" w:hAnsi="Arial"/>
                <w:sz w:val="20"/>
              </w:rPr>
              <w:t>billing.py</w:t>
            </w:r>
          </w:p>
        </w:tc>
        <w:tc>
          <w:tcPr>
            <w:tcW w:type="dxa" w:w="3168"/>
          </w:tcPr>
          <w:p>
            <w:r/>
            <w:r>
              <w:rPr>
                <w:rFonts w:ascii="Arial" w:hAnsi="Arial"/>
                <w:sz w:val="20"/>
              </w:rPr>
              <w:t>/api/billing/*</w:t>
            </w:r>
          </w:p>
        </w:tc>
        <w:tc>
          <w:tcPr>
            <w:tcW w:type="dxa" w:w="4320"/>
          </w:tcPr>
          <w:p>
            <w:r/>
            <w:r>
              <w:rPr>
                <w:rFonts w:ascii="Arial" w:hAnsi="Arial"/>
                <w:sz w:val="20"/>
              </w:rPr>
              <w:t>Stripe customer, subscription lifecycle, webhook, invoices</w:t>
            </w:r>
          </w:p>
        </w:tc>
      </w:tr>
      <w:tr>
        <w:tc>
          <w:tcPr>
            <w:tcW w:type="dxa" w:w="1872"/>
          </w:tcPr>
          <w:p>
            <w:r/>
            <w:r>
              <w:rPr>
                <w:rFonts w:ascii="Arial" w:hAnsi="Arial"/>
                <w:sz w:val="20"/>
              </w:rPr>
              <w:t>onboarding.py</w:t>
            </w:r>
          </w:p>
        </w:tc>
        <w:tc>
          <w:tcPr>
            <w:tcW w:type="dxa" w:w="3168"/>
          </w:tcPr>
          <w:p>
            <w:r/>
            <w:r>
              <w:rPr>
                <w:rFonts w:ascii="Arial" w:hAnsi="Arial"/>
                <w:sz w:val="20"/>
              </w:rPr>
              <w:t>/api/onboarding/*</w:t>
            </w:r>
          </w:p>
        </w:tc>
        <w:tc>
          <w:tcPr>
            <w:tcW w:type="dxa" w:w="4320"/>
          </w:tcPr>
          <w:p>
            <w:r/>
            <w:r>
              <w:rPr>
                <w:rFonts w:ascii="Arial" w:hAnsi="Arial"/>
                <w:sz w:val="20"/>
              </w:rPr>
              <w:t>Firm setup wizard, staff CSV upload, role assignment</w:t>
            </w:r>
          </w:p>
        </w:tc>
      </w:tr>
      <w:tr>
        <w:tc>
          <w:tcPr>
            <w:tcW w:type="dxa" w:w="1872"/>
          </w:tcPr>
          <w:p>
            <w:r/>
            <w:r>
              <w:rPr>
                <w:rFonts w:ascii="Arial" w:hAnsi="Arial"/>
                <w:sz w:val="20"/>
              </w:rPr>
              <w:t>staff_portal.py</w:t>
            </w:r>
          </w:p>
        </w:tc>
        <w:tc>
          <w:tcPr>
            <w:tcW w:type="dxa" w:w="3168"/>
          </w:tcPr>
          <w:p>
            <w:r/>
            <w:r>
              <w:rPr>
                <w:rFonts w:ascii="Arial" w:hAnsi="Arial"/>
                <w:sz w:val="20"/>
              </w:rPr>
              <w:t>/api/staff/*</w:t>
            </w:r>
          </w:p>
        </w:tc>
        <w:tc>
          <w:tcPr>
            <w:tcW w:type="dxa" w:w="4320"/>
          </w:tcPr>
          <w:p>
            <w:r/>
            <w:r>
              <w:rPr>
                <w:rFonts w:ascii="Arial" w:hAnsi="Arial"/>
                <w:sz w:val="20"/>
              </w:rPr>
              <w:t>Personal tasks, training, chasers (staff self-service)</w:t>
            </w:r>
          </w:p>
        </w:tc>
      </w:tr>
      <w:tr>
        <w:tc>
          <w:tcPr>
            <w:tcW w:type="dxa" w:w="1872"/>
          </w:tcPr>
          <w:p>
            <w:r/>
            <w:r>
              <w:rPr>
                <w:rFonts w:ascii="Arial" w:hAnsi="Arial"/>
                <w:sz w:val="20"/>
              </w:rPr>
              <w:t>sra_return.py</w:t>
            </w:r>
          </w:p>
        </w:tc>
        <w:tc>
          <w:tcPr>
            <w:tcW w:type="dxa" w:w="3168"/>
          </w:tcPr>
          <w:p>
            <w:r/>
            <w:r>
              <w:rPr>
                <w:rFonts w:ascii="Arial" w:hAnsi="Arial"/>
                <w:sz w:val="20"/>
              </w:rPr>
              <w:t>/api/sra-return/*</w:t>
            </w:r>
          </w:p>
        </w:tc>
        <w:tc>
          <w:tcPr>
            <w:tcW w:type="dxa" w:w="4320"/>
          </w:tcPr>
          <w:p>
            <w:r/>
            <w:r>
              <w:rPr>
                <w:rFonts w:ascii="Arial" w:hAnsi="Arial"/>
                <w:sz w:val="20"/>
              </w:rPr>
              <w:t>SRA return data aggregation, field editing, export</w:t>
            </w:r>
          </w:p>
        </w:tc>
      </w:tr>
    </w:tbl>
    <w:p/>
    <w:p>
      <w:pPr>
        <w:pStyle w:val="Heading2"/>
      </w:pPr>
      <w:r>
        <w:t>7.2 Response Format</w:t>
      </w:r>
    </w:p>
    <w:p>
      <w:r>
        <w:t>All API responses follow a consistent envelope format: { "data": &lt;payload&gt;, "message": "optional", "success": true }. Error responses return { "detail": "error message" } with appropriate HTTP status codes (400, 401, 403, 404, 422, 500).</w:t>
      </w:r>
    </w:p>
    <w:p>
      <w:pPr>
        <w:pStyle w:val="Heading2"/>
      </w:pPr>
      <w:r>
        <w:t>7.3 Health Check</w:t>
      </w:r>
    </w:p>
    <w:p>
      <w:r>
        <w:t>GET /health — returns { "status": "healthy", "version": "1.0.0" }. No authentication required.</w:t>
      </w:r>
    </w:p>
    <w:p>
      <w:r>
        <w:br w:type="page"/>
      </w:r>
    </w:p>
    <w:p>
      <w:pPr>
        <w:pStyle w:val="Heading1"/>
      </w:pPr>
      <w:r>
        <w:t>8. Frontend Application</w:t>
      </w:r>
    </w:p>
    <w:p>
      <w:r>
        <w:t>The frontend is a Next.js 14 application using the App Router pattern. It is a single-page application with client-side routing, server-side rendering for initial page loads, and a persistent sidebar navigation. All API calls go through a centralised Axios client with JWT interceptors for automatic token refresh.</w:t>
      </w:r>
    </w:p>
    <w:p>
      <w:pPr>
        <w:pStyle w:val="Heading2"/>
      </w:pPr>
      <w:r>
        <w:t>8.1 Pages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color="auto" w:val="clear"/>
          </w:tcPr>
          <w:p>
            <w:r/>
            <w:r>
              <w:rPr>
                <w:rFonts w:ascii="Arial" w:hAnsi="Arial"/>
                <w:b/>
                <w:color w:val="FFFFFF"/>
                <w:sz w:val="20"/>
              </w:rPr>
              <w:t>Route</w:t>
            </w:r>
          </w:p>
        </w:tc>
        <w:tc>
          <w:tcPr>
            <w:tcW w:type="dxa" w:w="2880"/>
            <w:shd w:fill="1a1a2e" w:color="auto" w:val="clear"/>
          </w:tcPr>
          <w:p>
            <w:r/>
            <w:r>
              <w:rPr>
                <w:rFonts w:ascii="Arial" w:hAnsi="Arial"/>
                <w:b/>
                <w:color w:val="FFFFFF"/>
                <w:sz w:val="20"/>
              </w:rPr>
              <w:t>File</w:t>
            </w:r>
          </w:p>
        </w:tc>
        <w:tc>
          <w:tcPr>
            <w:tcW w:type="dxa" w:w="4320"/>
            <w:shd w:fill="1a1a2e" w:color="auto" w:val="clear"/>
          </w:tcPr>
          <w:p>
            <w:r/>
            <w:r>
              <w:rPr>
                <w:rFonts w:ascii="Arial" w:hAnsi="Arial"/>
                <w:b/>
                <w:color w:val="FFFFFF"/>
                <w:sz w:val="20"/>
              </w:rPr>
              <w:t>Description</w:t>
            </w:r>
          </w:p>
        </w:tc>
      </w:tr>
      <w:tr>
        <w:tc>
          <w:tcPr>
            <w:tcW w:type="dxa" w:w="2160"/>
          </w:tcPr>
          <w:p>
            <w:r/>
            <w:r>
              <w:rPr>
                <w:rFonts w:ascii="Arial" w:hAnsi="Arial"/>
                <w:sz w:val="20"/>
              </w:rPr>
              <w:t>/login</w:t>
            </w:r>
          </w:p>
        </w:tc>
        <w:tc>
          <w:tcPr>
            <w:tcW w:type="dxa" w:w="2880"/>
          </w:tcPr>
          <w:p>
            <w:r/>
            <w:r>
              <w:rPr>
                <w:rFonts w:ascii="Arial" w:hAnsi="Arial"/>
                <w:sz w:val="20"/>
              </w:rPr>
              <w:t>login/page.tsx</w:t>
            </w:r>
          </w:p>
        </w:tc>
        <w:tc>
          <w:tcPr>
            <w:tcW w:type="dxa" w:w="4320"/>
          </w:tcPr>
          <w:p>
            <w:r/>
            <w:r>
              <w:rPr>
                <w:rFonts w:ascii="Arial" w:hAnsi="Arial"/>
                <w:sz w:val="20"/>
              </w:rPr>
              <w:t>Email/password authentication form</w:t>
            </w:r>
          </w:p>
        </w:tc>
      </w:tr>
      <w:tr>
        <w:tc>
          <w:tcPr>
            <w:tcW w:type="dxa" w:w="2160"/>
          </w:tcPr>
          <w:p>
            <w:r/>
            <w:r>
              <w:rPr>
                <w:rFonts w:ascii="Arial" w:hAnsi="Arial"/>
                <w:sz w:val="20"/>
              </w:rPr>
              <w:t>/dashboard</w:t>
            </w:r>
          </w:p>
        </w:tc>
        <w:tc>
          <w:tcPr>
            <w:tcW w:type="dxa" w:w="2880"/>
          </w:tcPr>
          <w:p>
            <w:r/>
            <w:r>
              <w:rPr>
                <w:rFonts w:ascii="Arial" w:hAnsi="Arial"/>
                <w:sz w:val="20"/>
              </w:rPr>
              <w:t>dashboard/page.tsx</w:t>
            </w:r>
          </w:p>
        </w:tc>
        <w:tc>
          <w:tcPr>
            <w:tcW w:type="dxa" w:w="4320"/>
          </w:tcPr>
          <w:p>
            <w:r/>
            <w:r>
              <w:rPr>
                <w:rFonts w:ascii="Arial" w:hAnsi="Arial"/>
                <w:sz w:val="20"/>
              </w:rPr>
              <w:t>Main dashboard — stats cards, briefing, regulatory feed</w:t>
            </w:r>
          </w:p>
        </w:tc>
      </w:tr>
      <w:tr>
        <w:tc>
          <w:tcPr>
            <w:tcW w:type="dxa" w:w="2160"/>
          </w:tcPr>
          <w:p>
            <w:r/>
            <w:r>
              <w:rPr>
                <w:rFonts w:ascii="Arial" w:hAnsi="Arial"/>
                <w:sz w:val="20"/>
              </w:rPr>
              <w:t>/staff</w:t>
            </w:r>
          </w:p>
        </w:tc>
        <w:tc>
          <w:tcPr>
            <w:tcW w:type="dxa" w:w="2880"/>
          </w:tcPr>
          <w:p>
            <w:r/>
            <w:r>
              <w:rPr>
                <w:rFonts w:ascii="Arial" w:hAnsi="Arial"/>
                <w:sz w:val="20"/>
              </w:rPr>
              <w:t>staff/page.tsx</w:t>
            </w:r>
          </w:p>
        </w:tc>
        <w:tc>
          <w:tcPr>
            <w:tcW w:type="dxa" w:w="4320"/>
          </w:tcPr>
          <w:p>
            <w:r/>
            <w:r>
              <w:rPr>
                <w:rFonts w:ascii="Arial" w:hAnsi="Arial"/>
                <w:sz w:val="20"/>
              </w:rPr>
              <w:t>Staff directory, training tracker, file reviews (3 tabs)</w:t>
            </w:r>
          </w:p>
        </w:tc>
      </w:tr>
      <w:tr>
        <w:tc>
          <w:tcPr>
            <w:tcW w:type="dxa" w:w="2160"/>
          </w:tcPr>
          <w:p>
            <w:r/>
            <w:r>
              <w:rPr>
                <w:rFonts w:ascii="Arial" w:hAnsi="Arial"/>
                <w:sz w:val="20"/>
              </w:rPr>
              <w:t>/intake</w:t>
            </w:r>
          </w:p>
        </w:tc>
        <w:tc>
          <w:tcPr>
            <w:tcW w:type="dxa" w:w="2880"/>
          </w:tcPr>
          <w:p>
            <w:r/>
            <w:r>
              <w:rPr>
                <w:rFonts w:ascii="Arial" w:hAnsi="Arial"/>
                <w:sz w:val="20"/>
              </w:rPr>
              <w:t>intake/page.tsx</w:t>
            </w:r>
          </w:p>
        </w:tc>
        <w:tc>
          <w:tcPr>
            <w:tcW w:type="dxa" w:w="4320"/>
          </w:tcPr>
          <w:p>
            <w:r/>
            <w:r>
              <w:rPr>
                <w:rFonts w:ascii="Arial" w:hAnsi="Arial"/>
                <w:sz w:val="20"/>
              </w:rPr>
              <w:t>Client intake list, CDD checklist modal, risk assessment</w:t>
            </w:r>
          </w:p>
        </w:tc>
      </w:tr>
      <w:tr>
        <w:tc>
          <w:tcPr>
            <w:tcW w:type="dxa" w:w="2160"/>
          </w:tcPr>
          <w:p>
            <w:r/>
            <w:r>
              <w:rPr>
                <w:rFonts w:ascii="Arial" w:hAnsi="Arial"/>
                <w:sz w:val="20"/>
              </w:rPr>
              <w:t>/deadlines</w:t>
            </w:r>
          </w:p>
        </w:tc>
        <w:tc>
          <w:tcPr>
            <w:tcW w:type="dxa" w:w="2880"/>
          </w:tcPr>
          <w:p>
            <w:r/>
            <w:r>
              <w:rPr>
                <w:rFonts w:ascii="Arial" w:hAnsi="Arial"/>
                <w:sz w:val="20"/>
              </w:rPr>
              <w:t>deadlines/page.tsx</w:t>
            </w:r>
          </w:p>
        </w:tc>
        <w:tc>
          <w:tcPr>
            <w:tcW w:type="dxa" w:w="4320"/>
          </w:tcPr>
          <w:p>
            <w:r/>
            <w:r>
              <w:rPr>
                <w:rFonts w:ascii="Arial" w:hAnsi="Arial"/>
                <w:sz w:val="20"/>
              </w:rPr>
              <w:t>Deadline tracker with overdue/upcoming/completed tabs</w:t>
            </w:r>
          </w:p>
        </w:tc>
      </w:tr>
      <w:tr>
        <w:tc>
          <w:tcPr>
            <w:tcW w:type="dxa" w:w="2160"/>
          </w:tcPr>
          <w:p>
            <w:r/>
            <w:r>
              <w:rPr>
                <w:rFonts w:ascii="Arial" w:hAnsi="Arial"/>
                <w:sz w:val="20"/>
              </w:rPr>
              <w:t>/regulatory</w:t>
            </w:r>
          </w:p>
        </w:tc>
        <w:tc>
          <w:tcPr>
            <w:tcW w:type="dxa" w:w="2880"/>
          </w:tcPr>
          <w:p>
            <w:r/>
            <w:r>
              <w:rPr>
                <w:rFonts w:ascii="Arial" w:hAnsi="Arial"/>
                <w:sz w:val="20"/>
              </w:rPr>
              <w:t>regulatory/page.tsx</w:t>
            </w:r>
          </w:p>
        </w:tc>
        <w:tc>
          <w:tcPr>
            <w:tcW w:type="dxa" w:w="4320"/>
          </w:tcPr>
          <w:p>
            <w:r/>
            <w:r>
              <w:rPr>
                <w:rFonts w:ascii="Arial" w:hAnsi="Arial"/>
                <w:sz w:val="20"/>
              </w:rPr>
              <w:t>Regulatory updates feed, AI analysis, scan trigger</w:t>
            </w:r>
          </w:p>
        </w:tc>
      </w:tr>
      <w:tr>
        <w:tc>
          <w:tcPr>
            <w:tcW w:type="dxa" w:w="2160"/>
          </w:tcPr>
          <w:p>
            <w:r/>
            <w:r>
              <w:rPr>
                <w:rFonts w:ascii="Arial" w:hAnsi="Arial"/>
                <w:sz w:val="20"/>
              </w:rPr>
              <w:t>/alerts</w:t>
            </w:r>
          </w:p>
        </w:tc>
        <w:tc>
          <w:tcPr>
            <w:tcW w:type="dxa" w:w="2880"/>
          </w:tcPr>
          <w:p>
            <w:r/>
            <w:r>
              <w:rPr>
                <w:rFonts w:ascii="Arial" w:hAnsi="Arial"/>
                <w:sz w:val="20"/>
              </w:rPr>
              <w:t>alerts/page.tsx</w:t>
            </w:r>
          </w:p>
        </w:tc>
        <w:tc>
          <w:tcPr>
            <w:tcW w:type="dxa" w:w="4320"/>
          </w:tcPr>
          <w:p>
            <w:r/>
            <w:r>
              <w:rPr>
                <w:rFonts w:ascii="Arial" w:hAnsi="Arial"/>
                <w:sz w:val="20"/>
              </w:rPr>
              <w:t>Compliance alerts with acknowledge/resolve actions</w:t>
            </w:r>
          </w:p>
        </w:tc>
      </w:tr>
      <w:tr>
        <w:tc>
          <w:tcPr>
            <w:tcW w:type="dxa" w:w="2160"/>
          </w:tcPr>
          <w:p>
            <w:r/>
            <w:r>
              <w:rPr>
                <w:rFonts w:ascii="Arial" w:hAnsi="Arial"/>
                <w:sz w:val="20"/>
              </w:rPr>
              <w:t>/sra-audit</w:t>
            </w:r>
          </w:p>
        </w:tc>
        <w:tc>
          <w:tcPr>
            <w:tcW w:type="dxa" w:w="2880"/>
          </w:tcPr>
          <w:p>
            <w:r/>
            <w:r>
              <w:rPr>
                <w:rFonts w:ascii="Arial" w:hAnsi="Arial"/>
                <w:sz w:val="20"/>
              </w:rPr>
              <w:t>sra-audit/page.tsx</w:t>
            </w:r>
          </w:p>
        </w:tc>
        <w:tc>
          <w:tcPr>
            <w:tcW w:type="dxa" w:w="4320"/>
          </w:tcPr>
          <w:p>
            <w:r/>
            <w:r>
              <w:rPr>
                <w:rFonts w:ascii="Arial" w:hAnsi="Arial"/>
                <w:sz w:val="20"/>
              </w:rPr>
              <w:t>SRA audit readiness checker with gap analysis</w:t>
            </w:r>
          </w:p>
        </w:tc>
      </w:tr>
      <w:tr>
        <w:tc>
          <w:tcPr>
            <w:tcW w:type="dxa" w:w="2160"/>
          </w:tcPr>
          <w:p>
            <w:r/>
            <w:r>
              <w:rPr>
                <w:rFonts w:ascii="Arial" w:hAnsi="Arial"/>
                <w:sz w:val="20"/>
              </w:rPr>
              <w:t>/remediation</w:t>
            </w:r>
          </w:p>
        </w:tc>
        <w:tc>
          <w:tcPr>
            <w:tcW w:type="dxa" w:w="2880"/>
          </w:tcPr>
          <w:p>
            <w:r/>
            <w:r>
              <w:rPr>
                <w:rFonts w:ascii="Arial" w:hAnsi="Arial"/>
                <w:sz w:val="20"/>
              </w:rPr>
              <w:t>remediation/page.tsx</w:t>
            </w:r>
          </w:p>
        </w:tc>
        <w:tc>
          <w:tcPr>
            <w:tcW w:type="dxa" w:w="4320"/>
          </w:tcPr>
          <w:p>
            <w:r/>
            <w:r>
              <w:rPr>
                <w:rFonts w:ascii="Arial" w:hAnsi="Arial"/>
                <w:sz w:val="20"/>
              </w:rPr>
              <w:t>Remediation plan tracker with step completion</w:t>
            </w:r>
          </w:p>
        </w:tc>
      </w:tr>
      <w:tr>
        <w:tc>
          <w:tcPr>
            <w:tcW w:type="dxa" w:w="2160"/>
          </w:tcPr>
          <w:p>
            <w:r/>
            <w:r>
              <w:rPr>
                <w:rFonts w:ascii="Arial" w:hAnsi="Arial"/>
                <w:sz w:val="20"/>
              </w:rPr>
              <w:t>/policies</w:t>
            </w:r>
          </w:p>
        </w:tc>
        <w:tc>
          <w:tcPr>
            <w:tcW w:type="dxa" w:w="2880"/>
          </w:tcPr>
          <w:p>
            <w:r/>
            <w:r>
              <w:rPr>
                <w:rFonts w:ascii="Arial" w:hAnsi="Arial"/>
                <w:sz w:val="20"/>
              </w:rPr>
              <w:t>policies/page.tsx</w:t>
            </w:r>
          </w:p>
        </w:tc>
        <w:tc>
          <w:tcPr>
            <w:tcW w:type="dxa" w:w="4320"/>
          </w:tcPr>
          <w:p>
            <w:r/>
            <w:r>
              <w:rPr>
                <w:rFonts w:ascii="Arial" w:hAnsi="Arial"/>
                <w:sz w:val="20"/>
              </w:rPr>
              <w:t>Policy document manager with version history</w:t>
            </w:r>
          </w:p>
        </w:tc>
      </w:tr>
      <w:tr>
        <w:tc>
          <w:tcPr>
            <w:tcW w:type="dxa" w:w="2160"/>
          </w:tcPr>
          <w:p>
            <w:r/>
            <w:r>
              <w:rPr>
                <w:rFonts w:ascii="Arial" w:hAnsi="Arial"/>
                <w:sz w:val="20"/>
              </w:rPr>
              <w:t>/breaches</w:t>
            </w:r>
          </w:p>
        </w:tc>
        <w:tc>
          <w:tcPr>
            <w:tcW w:type="dxa" w:w="2880"/>
          </w:tcPr>
          <w:p>
            <w:r/>
            <w:r>
              <w:rPr>
                <w:rFonts w:ascii="Arial" w:hAnsi="Arial"/>
                <w:sz w:val="20"/>
              </w:rPr>
              <w:t>breaches/page.tsx</w:t>
            </w:r>
          </w:p>
        </w:tc>
        <w:tc>
          <w:tcPr>
            <w:tcW w:type="dxa" w:w="4320"/>
          </w:tcPr>
          <w:p>
            <w:r/>
            <w:r>
              <w:rPr>
                <w:rFonts w:ascii="Arial" w:hAnsi="Arial"/>
                <w:sz w:val="20"/>
              </w:rPr>
              <w:t>Breach log with severity badges, ICO status</w:t>
            </w:r>
          </w:p>
        </w:tc>
      </w:tr>
      <w:tr>
        <w:tc>
          <w:tcPr>
            <w:tcW w:type="dxa" w:w="2160"/>
          </w:tcPr>
          <w:p>
            <w:r/>
            <w:r>
              <w:rPr>
                <w:rFonts w:ascii="Arial" w:hAnsi="Arial"/>
                <w:sz w:val="20"/>
              </w:rPr>
              <w:t>/audit-report</w:t>
            </w:r>
          </w:p>
        </w:tc>
        <w:tc>
          <w:tcPr>
            <w:tcW w:type="dxa" w:w="2880"/>
          </w:tcPr>
          <w:p>
            <w:r/>
            <w:r>
              <w:rPr>
                <w:rFonts w:ascii="Arial" w:hAnsi="Arial"/>
                <w:sz w:val="20"/>
              </w:rPr>
              <w:t>audit-report/page.tsx</w:t>
            </w:r>
          </w:p>
        </w:tc>
        <w:tc>
          <w:tcPr>
            <w:tcW w:type="dxa" w:w="4320"/>
          </w:tcPr>
          <w:p>
            <w:r/>
            <w:r>
              <w:rPr>
                <w:rFonts w:ascii="Arial" w:hAnsi="Arial"/>
                <w:sz w:val="20"/>
              </w:rPr>
              <w:t>Downloadable audit report generator</w:t>
            </w:r>
          </w:p>
        </w:tc>
      </w:tr>
      <w:tr>
        <w:tc>
          <w:tcPr>
            <w:tcW w:type="dxa" w:w="2160"/>
          </w:tcPr>
          <w:p>
            <w:r/>
            <w:r>
              <w:rPr>
                <w:rFonts w:ascii="Arial" w:hAnsi="Arial"/>
                <w:sz w:val="20"/>
              </w:rPr>
              <w:t>/chasers</w:t>
            </w:r>
          </w:p>
        </w:tc>
        <w:tc>
          <w:tcPr>
            <w:tcW w:type="dxa" w:w="2880"/>
          </w:tcPr>
          <w:p>
            <w:r/>
            <w:r>
              <w:rPr>
                <w:rFonts w:ascii="Arial" w:hAnsi="Arial"/>
                <w:sz w:val="20"/>
              </w:rPr>
              <w:t>chasers/page.tsx</w:t>
            </w:r>
          </w:p>
        </w:tc>
        <w:tc>
          <w:tcPr>
            <w:tcW w:type="dxa" w:w="4320"/>
          </w:tcPr>
          <w:p>
            <w:r/>
            <w:r>
              <w:rPr>
                <w:rFonts w:ascii="Arial" w:hAnsi="Arial"/>
                <w:sz w:val="20"/>
              </w:rPr>
              <w:t>Chase email log with status and resend options</w:t>
            </w:r>
          </w:p>
        </w:tc>
      </w:tr>
      <w:tr>
        <w:tc>
          <w:tcPr>
            <w:tcW w:type="dxa" w:w="2160"/>
          </w:tcPr>
          <w:p>
            <w:r/>
            <w:r>
              <w:rPr>
                <w:rFonts w:ascii="Arial" w:hAnsi="Arial"/>
                <w:sz w:val="20"/>
              </w:rPr>
              <w:t>/evidence</w:t>
            </w:r>
          </w:p>
        </w:tc>
        <w:tc>
          <w:tcPr>
            <w:tcW w:type="dxa" w:w="2880"/>
          </w:tcPr>
          <w:p>
            <w:r/>
            <w:r>
              <w:rPr>
                <w:rFonts w:ascii="Arial" w:hAnsi="Arial"/>
                <w:sz w:val="20"/>
              </w:rPr>
              <w:t>evidence/page.tsx</w:t>
            </w:r>
          </w:p>
        </w:tc>
        <w:tc>
          <w:tcPr>
            <w:tcW w:type="dxa" w:w="4320"/>
          </w:tcPr>
          <w:p>
            <w:r/>
            <w:r>
              <w:rPr>
                <w:rFonts w:ascii="Arial" w:hAnsi="Arial"/>
                <w:sz w:val="20"/>
              </w:rPr>
              <w:t>Evidence locker — upload, tag, verify documents</w:t>
            </w:r>
          </w:p>
        </w:tc>
      </w:tr>
      <w:tr>
        <w:tc>
          <w:tcPr>
            <w:tcW w:type="dxa" w:w="2160"/>
          </w:tcPr>
          <w:p>
            <w:r/>
            <w:r>
              <w:rPr>
                <w:rFonts w:ascii="Arial" w:hAnsi="Arial"/>
                <w:sz w:val="20"/>
              </w:rPr>
              <w:t>/supervision</w:t>
            </w:r>
          </w:p>
        </w:tc>
        <w:tc>
          <w:tcPr>
            <w:tcW w:type="dxa" w:w="2880"/>
          </w:tcPr>
          <w:p>
            <w:r/>
            <w:r>
              <w:rPr>
                <w:rFonts w:ascii="Arial" w:hAnsi="Arial"/>
                <w:sz w:val="20"/>
              </w:rPr>
              <w:t>supervision/page.tsx</w:t>
            </w:r>
          </w:p>
        </w:tc>
        <w:tc>
          <w:tcPr>
            <w:tcW w:type="dxa" w:w="4320"/>
          </w:tcPr>
          <w:p>
            <w:r/>
            <w:r>
              <w:rPr>
                <w:rFonts w:ascii="Arial" w:hAnsi="Arial"/>
                <w:sz w:val="20"/>
              </w:rPr>
              <w:t>Supervision schedule with overdue highlighting</w:t>
            </w:r>
          </w:p>
        </w:tc>
      </w:tr>
      <w:tr>
        <w:tc>
          <w:tcPr>
            <w:tcW w:type="dxa" w:w="2160"/>
          </w:tcPr>
          <w:p>
            <w:r/>
            <w:r>
              <w:rPr>
                <w:rFonts w:ascii="Arial" w:hAnsi="Arial"/>
                <w:sz w:val="20"/>
              </w:rPr>
              <w:t>/matters</w:t>
            </w:r>
          </w:p>
        </w:tc>
        <w:tc>
          <w:tcPr>
            <w:tcW w:type="dxa" w:w="2880"/>
          </w:tcPr>
          <w:p>
            <w:r/>
            <w:r>
              <w:rPr>
                <w:rFonts w:ascii="Arial" w:hAnsi="Arial"/>
                <w:sz w:val="20"/>
              </w:rPr>
              <w:t>matters/page.tsx</w:t>
            </w:r>
          </w:p>
        </w:tc>
        <w:tc>
          <w:tcPr>
            <w:tcW w:type="dxa" w:w="4320"/>
          </w:tcPr>
          <w:p>
            <w:r/>
            <w:r>
              <w:rPr>
                <w:rFonts w:ascii="Arial" w:hAnsi="Arial"/>
                <w:sz w:val="20"/>
              </w:rPr>
              <w:t>Matter checklists with item-level completion</w:t>
            </w:r>
          </w:p>
        </w:tc>
      </w:tr>
      <w:tr>
        <w:tc>
          <w:tcPr>
            <w:tcW w:type="dxa" w:w="2160"/>
          </w:tcPr>
          <w:p>
            <w:r/>
            <w:r>
              <w:rPr>
                <w:rFonts w:ascii="Arial" w:hAnsi="Arial"/>
                <w:sz w:val="20"/>
              </w:rPr>
              <w:t>/sra-return</w:t>
            </w:r>
          </w:p>
        </w:tc>
        <w:tc>
          <w:tcPr>
            <w:tcW w:type="dxa" w:w="2880"/>
          </w:tcPr>
          <w:p>
            <w:r/>
            <w:r>
              <w:rPr>
                <w:rFonts w:ascii="Arial" w:hAnsi="Arial"/>
                <w:sz w:val="20"/>
              </w:rPr>
              <w:t>sra-return/page.tsx</w:t>
            </w:r>
          </w:p>
        </w:tc>
        <w:tc>
          <w:tcPr>
            <w:tcW w:type="dxa" w:w="4320"/>
          </w:tcPr>
          <w:p>
            <w:r/>
            <w:r>
              <w:rPr>
                <w:rFonts w:ascii="Arial" w:hAnsi="Arial"/>
                <w:sz w:val="20"/>
              </w:rPr>
              <w:t>SRA annual return builder with auto-populated fields</w:t>
            </w:r>
          </w:p>
        </w:tc>
      </w:tr>
      <w:tr>
        <w:tc>
          <w:tcPr>
            <w:tcW w:type="dxa" w:w="2160"/>
          </w:tcPr>
          <w:p>
            <w:r/>
            <w:r>
              <w:rPr>
                <w:rFonts w:ascii="Arial" w:hAnsi="Arial"/>
                <w:sz w:val="20"/>
              </w:rPr>
              <w:t>/audit-trail</w:t>
            </w:r>
          </w:p>
        </w:tc>
        <w:tc>
          <w:tcPr>
            <w:tcW w:type="dxa" w:w="2880"/>
          </w:tcPr>
          <w:p>
            <w:r/>
            <w:r>
              <w:rPr>
                <w:rFonts w:ascii="Arial" w:hAnsi="Arial"/>
                <w:sz w:val="20"/>
              </w:rPr>
              <w:t>audit-trail/page.tsx</w:t>
            </w:r>
          </w:p>
        </w:tc>
        <w:tc>
          <w:tcPr>
            <w:tcW w:type="dxa" w:w="4320"/>
          </w:tcPr>
          <w:p>
            <w:r/>
            <w:r>
              <w:rPr>
                <w:rFonts w:ascii="Arial" w:hAnsi="Arial"/>
                <w:sz w:val="20"/>
              </w:rPr>
              <w:t>Searchable audit log with CSV export</w:t>
            </w:r>
          </w:p>
        </w:tc>
      </w:tr>
      <w:tr>
        <w:tc>
          <w:tcPr>
            <w:tcW w:type="dxa" w:w="2160"/>
          </w:tcPr>
          <w:p>
            <w:r/>
            <w:r>
              <w:rPr>
                <w:rFonts w:ascii="Arial" w:hAnsi="Arial"/>
                <w:sz w:val="20"/>
              </w:rPr>
              <w:t>/data-management</w:t>
            </w:r>
          </w:p>
        </w:tc>
        <w:tc>
          <w:tcPr>
            <w:tcW w:type="dxa" w:w="2880"/>
          </w:tcPr>
          <w:p>
            <w:r/>
            <w:r>
              <w:rPr>
                <w:rFonts w:ascii="Arial" w:hAnsi="Arial"/>
                <w:sz w:val="20"/>
              </w:rPr>
              <w:t>data-management/page.tsx</w:t>
            </w:r>
          </w:p>
        </w:tc>
        <w:tc>
          <w:tcPr>
            <w:tcW w:type="dxa" w:w="4320"/>
          </w:tcPr>
          <w:p>
            <w:r/>
            <w:r>
              <w:rPr>
                <w:rFonts w:ascii="Arial" w:hAnsi="Arial"/>
                <w:sz w:val="20"/>
              </w:rPr>
              <w:t>Data import/export tools</w:t>
            </w:r>
          </w:p>
        </w:tc>
      </w:tr>
      <w:tr>
        <w:tc>
          <w:tcPr>
            <w:tcW w:type="dxa" w:w="2160"/>
          </w:tcPr>
          <w:p>
            <w:r/>
            <w:r>
              <w:rPr>
                <w:rFonts w:ascii="Arial" w:hAnsi="Arial"/>
                <w:sz w:val="20"/>
              </w:rPr>
              <w:t>/user-management</w:t>
            </w:r>
          </w:p>
        </w:tc>
        <w:tc>
          <w:tcPr>
            <w:tcW w:type="dxa" w:w="2880"/>
          </w:tcPr>
          <w:p>
            <w:r/>
            <w:r>
              <w:rPr>
                <w:rFonts w:ascii="Arial" w:hAnsi="Arial"/>
                <w:sz w:val="20"/>
              </w:rPr>
              <w:t>user-management/page.tsx</w:t>
            </w:r>
          </w:p>
        </w:tc>
        <w:tc>
          <w:tcPr>
            <w:tcW w:type="dxa" w:w="4320"/>
          </w:tcPr>
          <w:p>
            <w:r/>
            <w:r>
              <w:rPr>
                <w:rFonts w:ascii="Arial" w:hAnsi="Arial"/>
                <w:sz w:val="20"/>
              </w:rPr>
              <w:t>User accounts and role management</w:t>
            </w:r>
          </w:p>
        </w:tc>
      </w:tr>
      <w:tr>
        <w:tc>
          <w:tcPr>
            <w:tcW w:type="dxa" w:w="2160"/>
          </w:tcPr>
          <w:p>
            <w:r/>
            <w:r>
              <w:rPr>
                <w:rFonts w:ascii="Arial" w:hAnsi="Arial"/>
                <w:sz w:val="20"/>
              </w:rPr>
              <w:t>/staff-portal</w:t>
            </w:r>
          </w:p>
        </w:tc>
        <w:tc>
          <w:tcPr>
            <w:tcW w:type="dxa" w:w="2880"/>
          </w:tcPr>
          <w:p>
            <w:r/>
            <w:r>
              <w:rPr>
                <w:rFonts w:ascii="Arial" w:hAnsi="Arial"/>
                <w:sz w:val="20"/>
              </w:rPr>
              <w:t>staff-portal/page.tsx</w:t>
            </w:r>
          </w:p>
        </w:tc>
        <w:tc>
          <w:tcPr>
            <w:tcW w:type="dxa" w:w="4320"/>
          </w:tcPr>
          <w:p>
            <w:r/>
            <w:r>
              <w:rPr>
                <w:rFonts w:ascii="Arial" w:hAnsi="Arial"/>
                <w:sz w:val="20"/>
              </w:rPr>
              <w:t>Personal staff view — my tasks, training, chasers</w:t>
            </w:r>
          </w:p>
        </w:tc>
      </w:tr>
      <w:tr>
        <w:tc>
          <w:tcPr>
            <w:tcW w:type="dxa" w:w="2160"/>
          </w:tcPr>
          <w:p>
            <w:r/>
            <w:r>
              <w:rPr>
                <w:rFonts w:ascii="Arial" w:hAnsi="Arial"/>
                <w:sz w:val="20"/>
              </w:rPr>
              <w:t>/email-settings</w:t>
            </w:r>
          </w:p>
        </w:tc>
        <w:tc>
          <w:tcPr>
            <w:tcW w:type="dxa" w:w="2880"/>
          </w:tcPr>
          <w:p>
            <w:r/>
            <w:r>
              <w:rPr>
                <w:rFonts w:ascii="Arial" w:hAnsi="Arial"/>
                <w:sz w:val="20"/>
              </w:rPr>
              <w:t>email-settings/page.tsx</w:t>
            </w:r>
          </w:p>
        </w:tc>
        <w:tc>
          <w:tcPr>
            <w:tcW w:type="dxa" w:w="4320"/>
          </w:tcPr>
          <w:p>
            <w:r/>
            <w:r>
              <w:rPr>
                <w:rFonts w:ascii="Arial" w:hAnsi="Arial"/>
                <w:sz w:val="20"/>
              </w:rPr>
              <w:t>Auto-chase configuration per category</w:t>
            </w:r>
          </w:p>
        </w:tc>
      </w:tr>
      <w:tr>
        <w:tc>
          <w:tcPr>
            <w:tcW w:type="dxa" w:w="2160"/>
          </w:tcPr>
          <w:p>
            <w:r/>
            <w:r>
              <w:rPr>
                <w:rFonts w:ascii="Arial" w:hAnsi="Arial"/>
                <w:sz w:val="20"/>
              </w:rPr>
              <w:t>/compliance-scan</w:t>
            </w:r>
          </w:p>
        </w:tc>
        <w:tc>
          <w:tcPr>
            <w:tcW w:type="dxa" w:w="2880"/>
          </w:tcPr>
          <w:p>
            <w:r/>
            <w:r>
              <w:rPr>
                <w:rFonts w:ascii="Arial" w:hAnsi="Arial"/>
                <w:sz w:val="20"/>
              </w:rPr>
              <w:t>compliance-scan/page.tsx</w:t>
            </w:r>
          </w:p>
        </w:tc>
        <w:tc>
          <w:tcPr>
            <w:tcW w:type="dxa" w:w="4320"/>
          </w:tcPr>
          <w:p>
            <w:r/>
            <w:r>
              <w:rPr>
                <w:rFonts w:ascii="Arial" w:hAnsi="Arial"/>
                <w:sz w:val="20"/>
              </w:rPr>
              <w:t>On-demand compliance gap scanner</w:t>
            </w:r>
          </w:p>
        </w:tc>
      </w:tr>
      <w:tr>
        <w:tc>
          <w:tcPr>
            <w:tcW w:type="dxa" w:w="2160"/>
          </w:tcPr>
          <w:p>
            <w:r/>
            <w:r>
              <w:rPr>
                <w:rFonts w:ascii="Arial" w:hAnsi="Arial"/>
                <w:sz w:val="20"/>
              </w:rPr>
              <w:t>/settings</w:t>
            </w:r>
          </w:p>
        </w:tc>
        <w:tc>
          <w:tcPr>
            <w:tcW w:type="dxa" w:w="2880"/>
          </w:tcPr>
          <w:p>
            <w:r/>
            <w:r>
              <w:rPr>
                <w:rFonts w:ascii="Arial" w:hAnsi="Arial"/>
                <w:sz w:val="20"/>
              </w:rPr>
              <w:t>settings/page.tsx</w:t>
            </w:r>
          </w:p>
        </w:tc>
        <w:tc>
          <w:tcPr>
            <w:tcW w:type="dxa" w:w="4320"/>
          </w:tcPr>
          <w:p>
            <w:r/>
            <w:r>
              <w:rPr>
                <w:rFonts w:ascii="Arial" w:hAnsi="Arial"/>
                <w:sz w:val="20"/>
              </w:rPr>
              <w:t>Firm profile and general settings</w:t>
            </w:r>
          </w:p>
        </w:tc>
      </w:tr>
      <w:tr>
        <w:tc>
          <w:tcPr>
            <w:tcW w:type="dxa" w:w="2160"/>
          </w:tcPr>
          <w:p>
            <w:r/>
            <w:r>
              <w:rPr>
                <w:rFonts w:ascii="Arial" w:hAnsi="Arial"/>
                <w:sz w:val="20"/>
              </w:rPr>
              <w:t>/security</w:t>
            </w:r>
          </w:p>
        </w:tc>
        <w:tc>
          <w:tcPr>
            <w:tcW w:type="dxa" w:w="2880"/>
          </w:tcPr>
          <w:p>
            <w:r/>
            <w:r>
              <w:rPr>
                <w:rFonts w:ascii="Arial" w:hAnsi="Arial"/>
                <w:sz w:val="20"/>
              </w:rPr>
              <w:t>security/page.tsx</w:t>
            </w:r>
          </w:p>
        </w:tc>
        <w:tc>
          <w:tcPr>
            <w:tcW w:type="dxa" w:w="4320"/>
          </w:tcPr>
          <w:p>
            <w:r/>
            <w:r>
              <w:rPr>
                <w:rFonts w:ascii="Arial" w:hAnsi="Arial"/>
                <w:sz w:val="20"/>
              </w:rPr>
              <w:t>Password change, 2FA setup, session management</w:t>
            </w:r>
          </w:p>
        </w:tc>
      </w:tr>
      <w:tr>
        <w:tc>
          <w:tcPr>
            <w:tcW w:type="dxa" w:w="2160"/>
          </w:tcPr>
          <w:p>
            <w:r/>
            <w:r>
              <w:rPr>
                <w:rFonts w:ascii="Arial" w:hAnsi="Arial"/>
                <w:sz w:val="20"/>
              </w:rPr>
              <w:t>/onboarding</w:t>
            </w:r>
          </w:p>
        </w:tc>
        <w:tc>
          <w:tcPr>
            <w:tcW w:type="dxa" w:w="2880"/>
          </w:tcPr>
          <w:p>
            <w:r/>
            <w:r>
              <w:rPr>
                <w:rFonts w:ascii="Arial" w:hAnsi="Arial"/>
                <w:sz w:val="20"/>
              </w:rPr>
              <w:t>onboarding/page.tsx</w:t>
            </w:r>
          </w:p>
        </w:tc>
        <w:tc>
          <w:tcPr>
            <w:tcW w:type="dxa" w:w="4320"/>
          </w:tcPr>
          <w:p>
            <w:r/>
            <w:r>
              <w:rPr>
                <w:rFonts w:ascii="Arial" w:hAnsi="Arial"/>
                <w:sz w:val="20"/>
              </w:rPr>
              <w:t>5-step firm setup wizard</w:t>
            </w:r>
          </w:p>
        </w:tc>
      </w:tr>
    </w:tbl>
    <w:p/>
    <w:p>
      <w:pPr>
        <w:pStyle w:val="Heading2"/>
      </w:pPr>
      <w:r>
        <w:t>8.2 UI Component Library</w:t>
      </w:r>
    </w:p>
    <w:p>
      <w:r>
        <w:t>The frontend includes 15 reusable components in src/components/ui/: StatCard, DataTable, Modal, StatusBadge, PageHeader, Card, Button (primary/secondary/success/danger/outline/ghost variants), Input, Select, LoadingSpinner, EmptyState, ConfirmDialog, SearchBar, Tabs, and Toast. All styled with Tailwind CSS using a consistent colour palette defined in tailwind.config.ts.</w:t>
      </w:r>
    </w:p>
    <w:p>
      <w:pPr>
        <w:pStyle w:val="Heading2"/>
      </w:pPr>
      <w:r>
        <w:t>8.3 State Management</w:t>
      </w:r>
    </w:p>
    <w:p>
      <w:r>
        <w:t>Zustand stores handle global state: auth-store.ts (user session, role checks, login/logout), notification-store.ts (toast notifications), and firm-store.ts (current firm context). Page-level state uses React useState/useEffect hooks with the apiClient for data fetching.</w:t>
      </w:r>
    </w:p>
    <w:p>
      <w:r>
        <w:br w:type="page"/>
      </w:r>
    </w:p>
    <w:p>
      <w:pPr>
        <w:pStyle w:val="Heading1"/>
      </w:pPr>
      <w:r>
        <w:t>9. Core Services</w:t>
      </w:r>
    </w:p>
    <w:p>
      <w:pPr>
        <w:pStyle w:val="Heading2"/>
      </w:pPr>
      <w:r>
        <w:t>9.1 Chase Engine (chase_engine.py)</w:t>
      </w:r>
    </w:p>
    <w:p>
      <w:r>
        <w:t>The ChaseEngine runs as a daily Celery task (scheduled for 9am). It scans all active firms and checks for: overdue training, overdue file reviews, incomplete CDD on client intakes, and overdue supervision meetings. For each overdue item, it sends a branded HTML email via SendGrid to the responsible staff member. It respects per-firm email settings (chase_frequency_days, escalation_after_days) and avoids sending duplicate chasers within the configured frequency window. If an item exceeds the escalation threshold, the engine also emails the firm's COLP with an escalation notice.</w:t>
      </w:r>
    </w:p>
    <w:p>
      <w:pPr>
        <w:pStyle w:val="Heading2"/>
      </w:pPr>
      <w:r>
        <w:t>9.2 Email Service (email_service.py)</w:t>
      </w:r>
    </w:p>
    <w:p>
      <w:r>
        <w:t>Full SendGrid integration with branded HTML email templates. Methods: send() for generic emails, send_training_chase(), send_file_review_chase(), send_cdd_chase(), send_breach_alert(), send_supervision_reminder(), send_weekly_digests() (weekly compliance summary to COLP), and send_deadline_reminders(). All emails use consistent Seema branding with the firm name in the header.</w:t>
      </w:r>
    </w:p>
    <w:p>
      <w:pPr>
        <w:pStyle w:val="Heading2"/>
      </w:pPr>
      <w:r>
        <w:t>9.3 AI Analysis (ai_analysis.py)</w:t>
      </w:r>
    </w:p>
    <w:p>
      <w:r>
        <w:t>Uses the Anthropic Claude API to analyse regulatory updates. Given an update and firm context, Claude returns a structured JSON assessment: affected practice areas, risk level (critical/high/medium/low), affected policies, affected staff roles, specific action items with deadlines, urgency classification, plain-English summary, and COLP recommendation. Called on-demand when a user requests analysis of a regulatory update, or automatically when new updates are scraped.</w:t>
      </w:r>
    </w:p>
    <w:p>
      <w:pPr>
        <w:pStyle w:val="Heading2"/>
      </w:pPr>
      <w:r>
        <w:t>9.4 SRA Lookup (sra_lookup.py)</w:t>
      </w:r>
    </w:p>
    <w:p>
      <w:r>
        <w:t>Web scraper for the SRA register. Validates SRA numbers, looks up firm details (name, address, status, practice areas, authorised persons count, contact info, regulated activities), and searches firms by name. Results are cached for 1 hour to avoid excessive requests. Used during onboarding to verify firm registration and during compliance scans to cross-reference SRA data.</w:t>
      </w:r>
    </w:p>
    <w:p>
      <w:pPr>
        <w:pStyle w:val="Heading2"/>
      </w:pPr>
      <w:r>
        <w:t>9.5 Billing Service (billing.py)</w:t>
      </w:r>
    </w:p>
    <w:p>
      <w:r>
        <w:t>Full Stripe Billing integration: customer creation, subscription creation/update/cancellation, webhook processing (invoice.paid, invoice.payment_failed, customer.subscription.updated/deleted), feature gating based on subscription tier, invoice history retrieval, and usage tracking. Two tiers: Essentials and Professional, each with monthly and annual pricing options.</w:t>
      </w:r>
    </w:p>
    <w:p>
      <w:pPr>
        <w:pStyle w:val="Heading2"/>
      </w:pPr>
      <w:r>
        <w:t>9.6 Regulatory Scrapers (services/scrapers/)</w:t>
      </w:r>
    </w:p>
    <w:p>
      <w:r>
        <w:t>Four scrapers that poll regulatory sources on a configurable interval (default 4 hours): SRA scraper (sra.org.uk updates and notices), ICO scraper (data protection guidance), Law Society scraper (practice notes and guidance), and GOV.UK scraper (legislation.gov.uk). Each scraper extracts title, date, source URL, and content, then stores the update in the database for AI analysis.</w:t>
      </w:r>
    </w:p>
    <w:p>
      <w:r>
        <w:br w:type="page"/>
      </w:r>
    </w:p>
    <w:p>
      <w:pPr>
        <w:pStyle w:val="Heading1"/>
      </w:pPr>
      <w:r>
        <w:t>10. Authentication &amp; Authorisation</w:t>
      </w:r>
    </w:p>
    <w:p>
      <w:pPr>
        <w:pStyle w:val="Heading2"/>
      </w:pPr>
      <w:r>
        <w:t>10.1 JWT Token Flow</w:t>
      </w:r>
    </w:p>
    <w:p>
      <w:r>
        <w:t>Login: POST /api/auth/login with email + password returns access_token (15min expiry) and refresh_token (7 day expiry). The frontend stores both in localStorage. The Axios interceptor attaches the access token to every request. On 401 response, the interceptor automatically attempts a refresh via POST /api/auth/refresh. If refresh fails, the user is redirected to /login.</w:t>
      </w:r>
    </w:p>
    <w:p>
      <w:pPr>
        <w:pStyle w:val="Heading2"/>
      </w:pPr>
      <w:r>
        <w:t>10.2 Role-Based Access Control</w:t>
      </w:r>
    </w:p>
    <w:p>
      <w:r>
        <w:t>Five roles with hierarchical permissions (highest to lowest):</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a1a2e" w:color="auto" w:val="clear"/>
          </w:tcPr>
          <w:p>
            <w:r/>
            <w:r>
              <w:rPr>
                <w:rFonts w:ascii="Arial" w:hAnsi="Arial"/>
                <w:b/>
                <w:color w:val="FFFFFF"/>
                <w:sz w:val="20"/>
              </w:rPr>
              <w:t>Role</w:t>
            </w:r>
          </w:p>
        </w:tc>
        <w:tc>
          <w:tcPr>
            <w:tcW w:type="dxa" w:w="1008"/>
            <w:shd w:fill="1a1a2e" w:color="auto" w:val="clear"/>
          </w:tcPr>
          <w:p>
            <w:r/>
            <w:r>
              <w:rPr>
                <w:rFonts w:ascii="Arial" w:hAnsi="Arial"/>
                <w:b/>
                <w:color w:val="FFFFFF"/>
                <w:sz w:val="20"/>
              </w:rPr>
              <w:t>Level</w:t>
            </w:r>
          </w:p>
        </w:tc>
        <w:tc>
          <w:tcPr>
            <w:tcW w:type="dxa" w:w="6624"/>
            <w:shd w:fill="1a1a2e" w:color="auto" w:val="clear"/>
          </w:tcPr>
          <w:p>
            <w:r/>
            <w:r>
              <w:rPr>
                <w:rFonts w:ascii="Arial" w:hAnsi="Arial"/>
                <w:b/>
                <w:color w:val="FFFFFF"/>
                <w:sz w:val="20"/>
              </w:rPr>
              <w:t>Permissions</w:t>
            </w:r>
          </w:p>
        </w:tc>
      </w:tr>
      <w:tr>
        <w:tc>
          <w:tcPr>
            <w:tcW w:type="dxa" w:w="1728"/>
          </w:tcPr>
          <w:p>
            <w:r/>
            <w:r>
              <w:rPr>
                <w:rFonts w:ascii="Arial" w:hAnsi="Arial"/>
                <w:sz w:val="20"/>
              </w:rPr>
              <w:t>COLP</w:t>
            </w:r>
          </w:p>
        </w:tc>
        <w:tc>
          <w:tcPr>
            <w:tcW w:type="dxa" w:w="1008"/>
          </w:tcPr>
          <w:p>
            <w:r/>
            <w:r>
              <w:rPr>
                <w:rFonts w:ascii="Arial" w:hAnsi="Arial"/>
                <w:sz w:val="20"/>
              </w:rPr>
              <w:t>5</w:t>
            </w:r>
          </w:p>
        </w:tc>
        <w:tc>
          <w:tcPr>
            <w:tcW w:type="dxa" w:w="6624"/>
          </w:tcPr>
          <w:p>
            <w:r/>
            <w:r>
              <w:rPr>
                <w:rFonts w:ascii="Arial" w:hAnsi="Arial"/>
                <w:sz w:val="20"/>
              </w:rPr>
              <w:t>Full access to all modules. Receives escalation emails. Can modify firm settings, manage users, configure billing.</w:t>
            </w:r>
          </w:p>
        </w:tc>
      </w:tr>
      <w:tr>
        <w:tc>
          <w:tcPr>
            <w:tcW w:type="dxa" w:w="1728"/>
          </w:tcPr>
          <w:p>
            <w:r/>
            <w:r>
              <w:rPr>
                <w:rFonts w:ascii="Arial" w:hAnsi="Arial"/>
                <w:sz w:val="20"/>
              </w:rPr>
              <w:t>Partner</w:t>
            </w:r>
          </w:p>
        </w:tc>
        <w:tc>
          <w:tcPr>
            <w:tcW w:type="dxa" w:w="1008"/>
          </w:tcPr>
          <w:p>
            <w:r/>
            <w:r>
              <w:rPr>
                <w:rFonts w:ascii="Arial" w:hAnsi="Arial"/>
                <w:sz w:val="20"/>
              </w:rPr>
              <w:t>4</w:t>
            </w:r>
          </w:p>
        </w:tc>
        <w:tc>
          <w:tcPr>
            <w:tcW w:type="dxa" w:w="6624"/>
          </w:tcPr>
          <w:p>
            <w:r/>
            <w:r>
              <w:rPr>
                <w:rFonts w:ascii="Arial" w:hAnsi="Arial"/>
                <w:sz w:val="20"/>
              </w:rPr>
              <w:t>Full read access. Can approve policies, review alerts, manage staff. Cannot modify firm settings or billing.</w:t>
            </w:r>
          </w:p>
        </w:tc>
      </w:tr>
      <w:tr>
        <w:tc>
          <w:tcPr>
            <w:tcW w:type="dxa" w:w="1728"/>
          </w:tcPr>
          <w:p>
            <w:r/>
            <w:r>
              <w:rPr>
                <w:rFonts w:ascii="Arial" w:hAnsi="Arial"/>
                <w:sz w:val="20"/>
              </w:rPr>
              <w:t>Admin</w:t>
            </w:r>
          </w:p>
        </w:tc>
        <w:tc>
          <w:tcPr>
            <w:tcW w:type="dxa" w:w="1008"/>
          </w:tcPr>
          <w:p>
            <w:r/>
            <w:r>
              <w:rPr>
                <w:rFonts w:ascii="Arial" w:hAnsi="Arial"/>
                <w:sz w:val="20"/>
              </w:rPr>
              <w:t>3</w:t>
            </w:r>
          </w:p>
        </w:tc>
        <w:tc>
          <w:tcPr>
            <w:tcW w:type="dxa" w:w="6624"/>
          </w:tcPr>
          <w:p>
            <w:r/>
            <w:r>
              <w:rPr>
                <w:rFonts w:ascii="Arial" w:hAnsi="Arial"/>
                <w:sz w:val="20"/>
              </w:rPr>
              <w:t>Staff management, email settings, data import/export. Cannot approve policies or manage billing.</w:t>
            </w:r>
          </w:p>
        </w:tc>
      </w:tr>
      <w:tr>
        <w:tc>
          <w:tcPr>
            <w:tcW w:type="dxa" w:w="1728"/>
          </w:tcPr>
          <w:p>
            <w:r/>
            <w:r>
              <w:rPr>
                <w:rFonts w:ascii="Arial" w:hAnsi="Arial"/>
                <w:sz w:val="20"/>
              </w:rPr>
              <w:t>Solicitor</w:t>
            </w:r>
          </w:p>
        </w:tc>
        <w:tc>
          <w:tcPr>
            <w:tcW w:type="dxa" w:w="1008"/>
          </w:tcPr>
          <w:p>
            <w:r/>
            <w:r>
              <w:rPr>
                <w:rFonts w:ascii="Arial" w:hAnsi="Arial"/>
                <w:sz w:val="20"/>
              </w:rPr>
              <w:t>2</w:t>
            </w:r>
          </w:p>
        </w:tc>
        <w:tc>
          <w:tcPr>
            <w:tcW w:type="dxa" w:w="6624"/>
          </w:tcPr>
          <w:p>
            <w:r/>
            <w:r>
              <w:rPr>
                <w:rFonts w:ascii="Arial" w:hAnsi="Arial"/>
                <w:sz w:val="20"/>
              </w:rPr>
              <w:t>Complete training, submit intakes, update matter checklists, acknowledge chasers.</w:t>
            </w:r>
          </w:p>
        </w:tc>
      </w:tr>
      <w:tr>
        <w:tc>
          <w:tcPr>
            <w:tcW w:type="dxa" w:w="1728"/>
          </w:tcPr>
          <w:p>
            <w:r/>
            <w:r>
              <w:rPr>
                <w:rFonts w:ascii="Arial" w:hAnsi="Arial"/>
                <w:sz w:val="20"/>
              </w:rPr>
              <w:t>Staff</w:t>
            </w:r>
          </w:p>
        </w:tc>
        <w:tc>
          <w:tcPr>
            <w:tcW w:type="dxa" w:w="1008"/>
          </w:tcPr>
          <w:p>
            <w:r/>
            <w:r>
              <w:rPr>
                <w:rFonts w:ascii="Arial" w:hAnsi="Arial"/>
                <w:sz w:val="20"/>
              </w:rPr>
              <w:t>1</w:t>
            </w:r>
          </w:p>
        </w:tc>
        <w:tc>
          <w:tcPr>
            <w:tcW w:type="dxa" w:w="6624"/>
          </w:tcPr>
          <w:p>
            <w:r/>
            <w:r>
              <w:rPr>
                <w:rFonts w:ascii="Arial" w:hAnsi="Arial"/>
                <w:sz w:val="20"/>
              </w:rPr>
              <w:t>View personal training, acknowledge reminders, access staff portal only.</w:t>
            </w:r>
          </w:p>
        </w:tc>
      </w:tr>
    </w:tbl>
    <w:p/>
    <w:p>
      <w:pPr>
        <w:pStyle w:val="Heading2"/>
      </w:pPr>
      <w:r>
        <w:t>10.3 Password Security</w:t>
      </w:r>
    </w:p>
    <w:p>
      <w:r>
        <w:t>Passwords are hashed with bcrypt via passlib. Login is rate-limited to 5 attempts per minute per IP. General API rate limit: 100 requests per minute per IP.</w:t>
      </w:r>
    </w:p>
    <w:p>
      <w:r>
        <w:br w:type="page"/>
      </w:r>
    </w:p>
    <w:p>
      <w:pPr>
        <w:pStyle w:val="Heading1"/>
      </w:pPr>
      <w:r>
        <w:t>11. Multi-Tenancy &amp; Data Isolation</w:t>
      </w:r>
    </w:p>
    <w:p>
      <w:r>
        <w:t>Seema uses a shared-database, shared-schema multi-tenancy model. Every table containing firm-specific data includes a firm_id foreign key. The TenantQuery middleware (middleware/tenant.py) provides a tq.select() method that automatically appends a firm_id filter to every query based on the authenticated user's firm.</w:t>
      </w:r>
    </w:p>
    <w:p>
      <w:pPr>
        <w:pStyle w:val="Heading2"/>
      </w:pPr>
      <w:r>
        <w:t>11.1 How It Works</w:t>
      </w:r>
    </w:p>
    <w:p>
      <w:r>
        <w:t>When a request comes in: (1) JWT middleware extracts user_id and firm_id from the token. (2) The router creates a TenantQuery(user.firm_id) instance. (3) All database queries use tq.select(Model, ...filters) instead of bare select(Model). (4) TenantQuery appends WHERE Model.firm_id = :current_firm_id to every query automatically.</w:t>
      </w:r>
    </w:p>
    <w:p>
      <w:pPr>
        <w:pStyle w:val="Heading2"/>
      </w:pPr>
      <w:r>
        <w:t>11.2 Critical Rules for Developers</w:t>
      </w:r>
    </w:p>
    <w:p>
      <w:pPr>
        <w:pStyle w:val="ListBullet"/>
      </w:pPr>
      <w:r>
        <w:t>NEVER use bare select(Model) for tenant-scoped data — always use tq.select()</w:t>
      </w:r>
    </w:p>
    <w:p>
      <w:pPr>
        <w:pStyle w:val="ListBullet"/>
      </w:pPr>
      <w:r>
        <w:t>NEVER query related models without tenant filtering — e.g., looking up a StaffMember by ID must also filter by firm_id</w:t>
      </w:r>
    </w:p>
    <w:p>
      <w:pPr>
        <w:pStyle w:val="ListBullet"/>
      </w:pPr>
      <w:r>
        <w:t>The Firm model itself is not tenant-filtered (it IS the tenant)</w:t>
      </w:r>
    </w:p>
    <w:p>
      <w:pPr>
        <w:pStyle w:val="ListBullet"/>
      </w:pPr>
      <w:r>
        <w:t>UserAccount queries must also be tenant-filtered when listing users for a firm</w:t>
      </w:r>
    </w:p>
    <w:p>
      <w:pPr>
        <w:pStyle w:val="ListBullet"/>
      </w:pPr>
      <w:r>
        <w:t>Background tasks (Celery) must create their own tenant context since there is no HTTP request</w:t>
      </w:r>
    </w:p>
    <w:p>
      <w:r>
        <w:br w:type="page"/>
      </w:r>
    </w:p>
    <w:p>
      <w:pPr>
        <w:pStyle w:val="Heading1"/>
      </w:pPr>
      <w:r>
        <w:t>12. Third-Party Integrations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a1a2e" w:color="auto" w:val="clear"/>
          </w:tcPr>
          <w:p>
            <w:r/>
            <w:r>
              <w:rPr>
                <w:rFonts w:ascii="Arial" w:hAnsi="Arial"/>
                <w:b/>
                <w:color w:val="FFFFFF"/>
                <w:sz w:val="20"/>
              </w:rPr>
              <w:t>Service</w:t>
            </w:r>
          </w:p>
        </w:tc>
        <w:tc>
          <w:tcPr>
            <w:tcW w:type="dxa" w:w="1728"/>
            <w:shd w:fill="1a1a2e" w:color="auto" w:val="clear"/>
          </w:tcPr>
          <w:p>
            <w:r/>
            <w:r>
              <w:rPr>
                <w:rFonts w:ascii="Arial" w:hAnsi="Arial"/>
                <w:b/>
                <w:color w:val="FFFFFF"/>
                <w:sz w:val="20"/>
              </w:rPr>
              <w:t>Purpose</w:t>
            </w:r>
          </w:p>
        </w:tc>
        <w:tc>
          <w:tcPr>
            <w:tcW w:type="dxa" w:w="3600"/>
            <w:shd w:fill="1a1a2e" w:color="auto" w:val="clear"/>
          </w:tcPr>
          <w:p>
            <w:r/>
            <w:r>
              <w:rPr>
                <w:rFonts w:ascii="Arial" w:hAnsi="Arial"/>
                <w:b/>
                <w:color w:val="FFFFFF"/>
                <w:sz w:val="20"/>
              </w:rPr>
              <w:t>How Used</w:t>
            </w:r>
          </w:p>
        </w:tc>
        <w:tc>
          <w:tcPr>
            <w:tcW w:type="dxa" w:w="2592"/>
            <w:shd w:fill="1a1a2e" w:color="auto" w:val="clear"/>
          </w:tcPr>
          <w:p>
            <w:r/>
            <w:r>
              <w:rPr>
                <w:rFonts w:ascii="Arial" w:hAnsi="Arial"/>
                <w:b/>
                <w:color w:val="FFFFFF"/>
                <w:sz w:val="20"/>
              </w:rPr>
              <w:t>Required Config</w:t>
            </w:r>
          </w:p>
        </w:tc>
      </w:tr>
      <w:tr>
        <w:tc>
          <w:tcPr>
            <w:tcW w:type="dxa" w:w="1440"/>
          </w:tcPr>
          <w:p>
            <w:r/>
            <w:r>
              <w:rPr>
                <w:rFonts w:ascii="Arial" w:hAnsi="Arial"/>
                <w:sz w:val="20"/>
              </w:rPr>
              <w:t>Stripe</w:t>
            </w:r>
          </w:p>
        </w:tc>
        <w:tc>
          <w:tcPr>
            <w:tcW w:type="dxa" w:w="1728"/>
          </w:tcPr>
          <w:p>
            <w:r/>
            <w:r>
              <w:rPr>
                <w:rFonts w:ascii="Arial" w:hAnsi="Arial"/>
                <w:sz w:val="20"/>
              </w:rPr>
              <w:t>Subscription billing</w:t>
            </w:r>
          </w:p>
        </w:tc>
        <w:tc>
          <w:tcPr>
            <w:tcW w:type="dxa" w:w="3600"/>
          </w:tcPr>
          <w:p>
            <w:r/>
            <w:r>
              <w:rPr>
                <w:rFonts w:ascii="Arial" w:hAnsi="Arial"/>
                <w:sz w:val="20"/>
              </w:rPr>
              <w:t>Customer creation, subscription lifecycle, webhook processing for payment events</w:t>
            </w:r>
          </w:p>
        </w:tc>
        <w:tc>
          <w:tcPr>
            <w:tcW w:type="dxa" w:w="2592"/>
          </w:tcPr>
          <w:p>
            <w:r/>
            <w:r>
              <w:rPr>
                <w:rFonts w:ascii="Arial" w:hAnsi="Arial"/>
                <w:sz w:val="20"/>
              </w:rPr>
              <w:t>STRIPE_SECRET_KEY, STRIPE_WEBHOOK_SECRET, 4x STRIPE_PRICE_* IDs</w:t>
            </w:r>
          </w:p>
        </w:tc>
      </w:tr>
      <w:tr>
        <w:tc>
          <w:tcPr>
            <w:tcW w:type="dxa" w:w="1440"/>
          </w:tcPr>
          <w:p>
            <w:r/>
            <w:r>
              <w:rPr>
                <w:rFonts w:ascii="Arial" w:hAnsi="Arial"/>
                <w:sz w:val="20"/>
              </w:rPr>
              <w:t>SendGrid</w:t>
            </w:r>
          </w:p>
        </w:tc>
        <w:tc>
          <w:tcPr>
            <w:tcW w:type="dxa" w:w="1728"/>
          </w:tcPr>
          <w:p>
            <w:r/>
            <w:r>
              <w:rPr>
                <w:rFonts w:ascii="Arial" w:hAnsi="Arial"/>
                <w:sz w:val="20"/>
              </w:rPr>
              <w:t>Transactional email</w:t>
            </w:r>
          </w:p>
        </w:tc>
        <w:tc>
          <w:tcPr>
            <w:tcW w:type="dxa" w:w="3600"/>
          </w:tcPr>
          <w:p>
            <w:r/>
            <w:r>
              <w:rPr>
                <w:rFonts w:ascii="Arial" w:hAnsi="Arial"/>
                <w:sz w:val="20"/>
              </w:rPr>
              <w:t>Chase emails, breach alerts, weekly digests, deadline reminders</w:t>
            </w:r>
          </w:p>
        </w:tc>
        <w:tc>
          <w:tcPr>
            <w:tcW w:type="dxa" w:w="2592"/>
          </w:tcPr>
          <w:p>
            <w:r/>
            <w:r>
              <w:rPr>
                <w:rFonts w:ascii="Arial" w:hAnsi="Arial"/>
                <w:sz w:val="20"/>
              </w:rPr>
              <w:t>SENDGRID_API_KEY, EMAIL_FROM, EMAIL_FROM_NAME</w:t>
            </w:r>
          </w:p>
        </w:tc>
      </w:tr>
      <w:tr>
        <w:tc>
          <w:tcPr>
            <w:tcW w:type="dxa" w:w="1440"/>
          </w:tcPr>
          <w:p>
            <w:r/>
            <w:r>
              <w:rPr>
                <w:rFonts w:ascii="Arial" w:hAnsi="Arial"/>
                <w:sz w:val="20"/>
              </w:rPr>
              <w:t>Anthropic Claude</w:t>
            </w:r>
          </w:p>
        </w:tc>
        <w:tc>
          <w:tcPr>
            <w:tcW w:type="dxa" w:w="1728"/>
          </w:tcPr>
          <w:p>
            <w:r/>
            <w:r>
              <w:rPr>
                <w:rFonts w:ascii="Arial" w:hAnsi="Arial"/>
                <w:sz w:val="20"/>
              </w:rPr>
              <w:t>AI analysis</w:t>
            </w:r>
          </w:p>
        </w:tc>
        <w:tc>
          <w:tcPr>
            <w:tcW w:type="dxa" w:w="3600"/>
          </w:tcPr>
          <w:p>
            <w:r/>
            <w:r>
              <w:rPr>
                <w:rFonts w:ascii="Arial" w:hAnsi="Arial"/>
                <w:sz w:val="20"/>
              </w:rPr>
              <w:t>Regulatory impact analysis — structured JSON output</w:t>
            </w:r>
          </w:p>
        </w:tc>
        <w:tc>
          <w:tcPr>
            <w:tcW w:type="dxa" w:w="2592"/>
          </w:tcPr>
          <w:p>
            <w:r/>
            <w:r>
              <w:rPr>
                <w:rFonts w:ascii="Arial" w:hAnsi="Arial"/>
                <w:sz w:val="20"/>
              </w:rPr>
              <w:t>ANTHROPIC_API_KEY, AI_MODEL</w:t>
            </w:r>
          </w:p>
        </w:tc>
      </w:tr>
      <w:tr>
        <w:tc>
          <w:tcPr>
            <w:tcW w:type="dxa" w:w="1440"/>
          </w:tcPr>
          <w:p>
            <w:r/>
            <w:r>
              <w:rPr>
                <w:rFonts w:ascii="Arial" w:hAnsi="Arial"/>
                <w:sz w:val="20"/>
              </w:rPr>
              <w:t>SRA Register</w:t>
            </w:r>
          </w:p>
        </w:tc>
        <w:tc>
          <w:tcPr>
            <w:tcW w:type="dxa" w:w="1728"/>
          </w:tcPr>
          <w:p>
            <w:r/>
            <w:r>
              <w:rPr>
                <w:rFonts w:ascii="Arial" w:hAnsi="Arial"/>
                <w:sz w:val="20"/>
              </w:rPr>
              <w:t>Firm validation</w:t>
            </w:r>
          </w:p>
        </w:tc>
        <w:tc>
          <w:tcPr>
            <w:tcW w:type="dxa" w:w="3600"/>
          </w:tcPr>
          <w:p>
            <w:r/>
            <w:r>
              <w:rPr>
                <w:rFonts w:ascii="Arial" w:hAnsi="Arial"/>
                <w:sz w:val="20"/>
              </w:rPr>
              <w:t>Web scraping of sra.org.uk to validate SRA numbers and lookup firm details</w:t>
            </w:r>
          </w:p>
        </w:tc>
        <w:tc>
          <w:tcPr>
            <w:tcW w:type="dxa" w:w="2592"/>
          </w:tcPr>
          <w:p>
            <w:r/>
            <w:r>
              <w:rPr>
                <w:rFonts w:ascii="Arial" w:hAnsi="Arial"/>
                <w:sz w:val="20"/>
              </w:rPr>
              <w:t>No API key — public register</w:t>
            </w:r>
          </w:p>
        </w:tc>
      </w:tr>
      <w:tr>
        <w:tc>
          <w:tcPr>
            <w:tcW w:type="dxa" w:w="1440"/>
          </w:tcPr>
          <w:p>
            <w:r/>
            <w:r>
              <w:rPr>
                <w:rFonts w:ascii="Arial" w:hAnsi="Arial"/>
                <w:sz w:val="20"/>
              </w:rPr>
              <w:t>ICO/FCA/GOV.UK</w:t>
            </w:r>
          </w:p>
        </w:tc>
        <w:tc>
          <w:tcPr>
            <w:tcW w:type="dxa" w:w="1728"/>
          </w:tcPr>
          <w:p>
            <w:r/>
            <w:r>
              <w:rPr>
                <w:rFonts w:ascii="Arial" w:hAnsi="Arial"/>
                <w:sz w:val="20"/>
              </w:rPr>
              <w:t>Regulatory feeds</w:t>
            </w:r>
          </w:p>
        </w:tc>
        <w:tc>
          <w:tcPr>
            <w:tcW w:type="dxa" w:w="3600"/>
          </w:tcPr>
          <w:p>
            <w:r/>
            <w:r>
              <w:rPr>
                <w:rFonts w:ascii="Arial" w:hAnsi="Arial"/>
                <w:sz w:val="20"/>
              </w:rPr>
              <w:t>Web scraping for regulatory updates and guidance</w:t>
            </w:r>
          </w:p>
        </w:tc>
        <w:tc>
          <w:tcPr>
            <w:tcW w:type="dxa" w:w="2592"/>
          </w:tcPr>
          <w:p>
            <w:r/>
            <w:r>
              <w:rPr>
                <w:rFonts w:ascii="Arial" w:hAnsi="Arial"/>
                <w:sz w:val="20"/>
              </w:rPr>
              <w:t>No API keys — public sources</w:t>
            </w:r>
          </w:p>
        </w:tc>
      </w:tr>
    </w:tbl>
    <w:p/>
    <w:p>
      <w:pPr>
        <w:pStyle w:val="Heading2"/>
      </w:pPr>
      <w:r>
        <w:t>12.1 Stripe Webhook Events</w:t>
      </w:r>
    </w:p>
    <w:p>
      <w:r>
        <w:t>The billing webhook endpoint (POST /api/billing/webhook) handles these Stripe events:</w:t>
      </w:r>
    </w:p>
    <w:tbl>
      <w:tblPr>
        <w:tblStyle w:val="TableGrid"/>
        <w:tblW w:type="auto" w:w="0"/>
        <w:jc w:val="center"/>
        <w:tblLook w:firstColumn="1" w:firstRow="1" w:lastColumn="0" w:lastRow="0" w:noHBand="0" w:noVBand="1" w:val="04A0"/>
      </w:tblPr>
      <w:tblGrid>
        <w:gridCol w:w="4680"/>
        <w:gridCol w:w="4680"/>
      </w:tblGrid>
      <w:tr>
        <w:tc>
          <w:tcPr>
            <w:tcW w:type="dxa" w:w="3600"/>
            <w:shd w:fill="1a1a2e" w:color="auto" w:val="clear"/>
          </w:tcPr>
          <w:p>
            <w:r/>
            <w:r>
              <w:rPr>
                <w:rFonts w:ascii="Arial" w:hAnsi="Arial"/>
                <w:b/>
                <w:color w:val="FFFFFF"/>
                <w:sz w:val="20"/>
              </w:rPr>
              <w:t>Event</w:t>
            </w:r>
          </w:p>
        </w:tc>
        <w:tc>
          <w:tcPr>
            <w:tcW w:type="dxa" w:w="5760"/>
            <w:shd w:fill="1a1a2e" w:color="auto" w:val="clear"/>
          </w:tcPr>
          <w:p>
            <w:r/>
            <w:r>
              <w:rPr>
                <w:rFonts w:ascii="Arial" w:hAnsi="Arial"/>
                <w:b/>
                <w:color w:val="FFFFFF"/>
                <w:sz w:val="20"/>
              </w:rPr>
              <w:t>Action</w:t>
            </w:r>
          </w:p>
        </w:tc>
      </w:tr>
      <w:tr>
        <w:tc>
          <w:tcPr>
            <w:tcW w:type="dxa" w:w="3600"/>
          </w:tcPr>
          <w:p>
            <w:r/>
            <w:r>
              <w:rPr>
                <w:rFonts w:ascii="Arial" w:hAnsi="Arial"/>
                <w:sz w:val="20"/>
              </w:rPr>
              <w:t>invoice.paid</w:t>
            </w:r>
          </w:p>
        </w:tc>
        <w:tc>
          <w:tcPr>
            <w:tcW w:type="dxa" w:w="5760"/>
          </w:tcPr>
          <w:p>
            <w:r/>
            <w:r>
              <w:rPr>
                <w:rFonts w:ascii="Arial" w:hAnsi="Arial"/>
                <w:sz w:val="20"/>
              </w:rPr>
              <w:t>Updates subscription status to active, records payment</w:t>
            </w:r>
          </w:p>
        </w:tc>
      </w:tr>
      <w:tr>
        <w:tc>
          <w:tcPr>
            <w:tcW w:type="dxa" w:w="3600"/>
          </w:tcPr>
          <w:p>
            <w:r/>
            <w:r>
              <w:rPr>
                <w:rFonts w:ascii="Arial" w:hAnsi="Arial"/>
                <w:sz w:val="20"/>
              </w:rPr>
              <w:t>invoice.payment_failed</w:t>
            </w:r>
          </w:p>
        </w:tc>
        <w:tc>
          <w:tcPr>
            <w:tcW w:type="dxa" w:w="5760"/>
          </w:tcPr>
          <w:p>
            <w:r/>
            <w:r>
              <w:rPr>
                <w:rFonts w:ascii="Arial" w:hAnsi="Arial"/>
                <w:sz w:val="20"/>
              </w:rPr>
              <w:t>Marks subscription as past_due, triggers COLP notification</w:t>
            </w:r>
          </w:p>
        </w:tc>
      </w:tr>
      <w:tr>
        <w:tc>
          <w:tcPr>
            <w:tcW w:type="dxa" w:w="3600"/>
          </w:tcPr>
          <w:p>
            <w:r/>
            <w:r>
              <w:rPr>
                <w:rFonts w:ascii="Arial" w:hAnsi="Arial"/>
                <w:sz w:val="20"/>
              </w:rPr>
              <w:t>customer.subscription.updated</w:t>
            </w:r>
          </w:p>
        </w:tc>
        <w:tc>
          <w:tcPr>
            <w:tcW w:type="dxa" w:w="5760"/>
          </w:tcPr>
          <w:p>
            <w:r/>
            <w:r>
              <w:rPr>
                <w:rFonts w:ascii="Arial" w:hAnsi="Arial"/>
                <w:sz w:val="20"/>
              </w:rPr>
              <w:t>Syncs tier changes (upgrade/downgrade)</w:t>
            </w:r>
          </w:p>
        </w:tc>
      </w:tr>
      <w:tr>
        <w:tc>
          <w:tcPr>
            <w:tcW w:type="dxa" w:w="3600"/>
          </w:tcPr>
          <w:p>
            <w:r/>
            <w:r>
              <w:rPr>
                <w:rFonts w:ascii="Arial" w:hAnsi="Arial"/>
                <w:sz w:val="20"/>
              </w:rPr>
              <w:t>customer.subscription.deleted</w:t>
            </w:r>
          </w:p>
        </w:tc>
        <w:tc>
          <w:tcPr>
            <w:tcW w:type="dxa" w:w="5760"/>
          </w:tcPr>
          <w:p>
            <w:r/>
            <w:r>
              <w:rPr>
                <w:rFonts w:ascii="Arial" w:hAnsi="Arial"/>
                <w:sz w:val="20"/>
              </w:rPr>
              <w:t>Marks firm subscription as cancelled</w:t>
            </w:r>
          </w:p>
        </w:tc>
      </w:tr>
    </w:tbl>
    <w:p/>
    <w:p>
      <w:r>
        <w:br w:type="page"/>
      </w:r>
    </w:p>
    <w:p>
      <w:pPr>
        <w:pStyle w:val="Heading1"/>
      </w:pPr>
      <w:r>
        <w:t>13. Deployment &amp; Infrastructure</w:t>
      </w:r>
    </w:p>
    <w:p>
      <w:pPr>
        <w:pStyle w:val="Heading2"/>
      </w:pPr>
      <w:r>
        <w:t>13.1 Docker Compose Services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a1a2e" w:color="auto" w:val="clear"/>
          </w:tcPr>
          <w:p>
            <w:r/>
            <w:r>
              <w:rPr>
                <w:rFonts w:ascii="Arial" w:hAnsi="Arial"/>
                <w:b/>
                <w:color w:val="FFFFFF"/>
                <w:sz w:val="20"/>
              </w:rPr>
              <w:t>Service</w:t>
            </w:r>
          </w:p>
        </w:tc>
        <w:tc>
          <w:tcPr>
            <w:tcW w:type="dxa" w:w="2160"/>
            <w:shd w:fill="1a1a2e" w:color="auto" w:val="clear"/>
          </w:tcPr>
          <w:p>
            <w:r/>
            <w:r>
              <w:rPr>
                <w:rFonts w:ascii="Arial" w:hAnsi="Arial"/>
                <w:b/>
                <w:color w:val="FFFFFF"/>
                <w:sz w:val="20"/>
              </w:rPr>
              <w:t>Image</w:t>
            </w:r>
          </w:p>
        </w:tc>
        <w:tc>
          <w:tcPr>
            <w:tcW w:type="dxa" w:w="1008"/>
            <w:shd w:fill="1a1a2e" w:color="auto" w:val="clear"/>
          </w:tcPr>
          <w:p>
            <w:r/>
            <w:r>
              <w:rPr>
                <w:rFonts w:ascii="Arial" w:hAnsi="Arial"/>
                <w:b/>
                <w:color w:val="FFFFFF"/>
                <w:sz w:val="20"/>
              </w:rPr>
              <w:t>Port</w:t>
            </w:r>
          </w:p>
        </w:tc>
        <w:tc>
          <w:tcPr>
            <w:tcW w:type="dxa" w:w="4464"/>
            <w:shd w:fill="1a1a2e" w:color="auto" w:val="clear"/>
          </w:tcPr>
          <w:p>
            <w:r/>
            <w:r>
              <w:rPr>
                <w:rFonts w:ascii="Arial" w:hAnsi="Arial"/>
                <w:b/>
                <w:color w:val="FFFFFF"/>
                <w:sz w:val="20"/>
              </w:rPr>
              <w:t>Description</w:t>
            </w:r>
          </w:p>
        </w:tc>
      </w:tr>
      <w:tr>
        <w:tc>
          <w:tcPr>
            <w:tcW w:type="dxa" w:w="1728"/>
          </w:tcPr>
          <w:p>
            <w:r/>
            <w:r>
              <w:rPr>
                <w:rFonts w:ascii="Arial" w:hAnsi="Arial"/>
                <w:sz w:val="20"/>
              </w:rPr>
              <w:t>db</w:t>
            </w:r>
          </w:p>
        </w:tc>
        <w:tc>
          <w:tcPr>
            <w:tcW w:type="dxa" w:w="2160"/>
          </w:tcPr>
          <w:p>
            <w:r/>
            <w:r>
              <w:rPr>
                <w:rFonts w:ascii="Arial" w:hAnsi="Arial"/>
                <w:sz w:val="20"/>
              </w:rPr>
              <w:t>postgres:16-alpine</w:t>
            </w:r>
          </w:p>
        </w:tc>
        <w:tc>
          <w:tcPr>
            <w:tcW w:type="dxa" w:w="1008"/>
          </w:tcPr>
          <w:p>
            <w:r/>
            <w:r>
              <w:rPr>
                <w:rFonts w:ascii="Arial" w:hAnsi="Arial"/>
                <w:sz w:val="20"/>
              </w:rPr>
              <w:t>5432</w:t>
            </w:r>
          </w:p>
        </w:tc>
        <w:tc>
          <w:tcPr>
            <w:tcW w:type="dxa" w:w="4464"/>
          </w:tcPr>
          <w:p>
            <w:r/>
            <w:r>
              <w:rPr>
                <w:rFonts w:ascii="Arial" w:hAnsi="Arial"/>
                <w:sz w:val="20"/>
              </w:rPr>
              <w:t>Primary database with persistent volume (pgdata)</w:t>
            </w:r>
          </w:p>
        </w:tc>
      </w:tr>
      <w:tr>
        <w:tc>
          <w:tcPr>
            <w:tcW w:type="dxa" w:w="1728"/>
          </w:tcPr>
          <w:p>
            <w:r/>
            <w:r>
              <w:rPr>
                <w:rFonts w:ascii="Arial" w:hAnsi="Arial"/>
                <w:sz w:val="20"/>
              </w:rPr>
              <w:t>redis</w:t>
            </w:r>
          </w:p>
        </w:tc>
        <w:tc>
          <w:tcPr>
            <w:tcW w:type="dxa" w:w="2160"/>
          </w:tcPr>
          <w:p>
            <w:r/>
            <w:r>
              <w:rPr>
                <w:rFonts w:ascii="Arial" w:hAnsi="Arial"/>
                <w:sz w:val="20"/>
              </w:rPr>
              <w:t>redis:7-alpine</w:t>
            </w:r>
          </w:p>
        </w:tc>
        <w:tc>
          <w:tcPr>
            <w:tcW w:type="dxa" w:w="1008"/>
          </w:tcPr>
          <w:p>
            <w:r/>
            <w:r>
              <w:rPr>
                <w:rFonts w:ascii="Arial" w:hAnsi="Arial"/>
                <w:sz w:val="20"/>
              </w:rPr>
              <w:t>6379</w:t>
            </w:r>
          </w:p>
        </w:tc>
        <w:tc>
          <w:tcPr>
            <w:tcW w:type="dxa" w:w="4464"/>
          </w:tcPr>
          <w:p>
            <w:r/>
            <w:r>
              <w:rPr>
                <w:rFonts w:ascii="Arial" w:hAnsi="Arial"/>
                <w:sz w:val="20"/>
              </w:rPr>
              <w:t>Celery broker and cache</w:t>
            </w:r>
          </w:p>
        </w:tc>
      </w:tr>
      <w:tr>
        <w:tc>
          <w:tcPr>
            <w:tcW w:type="dxa" w:w="1728"/>
          </w:tcPr>
          <w:p>
            <w:r/>
            <w:r>
              <w:rPr>
                <w:rFonts w:ascii="Arial" w:hAnsi="Arial"/>
                <w:sz w:val="20"/>
              </w:rPr>
              <w:t>api</w:t>
            </w:r>
          </w:p>
        </w:tc>
        <w:tc>
          <w:tcPr>
            <w:tcW w:type="dxa" w:w="2160"/>
          </w:tcPr>
          <w:p>
            <w:r/>
            <w:r>
              <w:rPr>
                <w:rFonts w:ascii="Arial" w:hAnsi="Arial"/>
                <w:sz w:val="20"/>
              </w:rPr>
              <w:t>seema-api (custom)</w:t>
            </w:r>
          </w:p>
        </w:tc>
        <w:tc>
          <w:tcPr>
            <w:tcW w:type="dxa" w:w="1008"/>
          </w:tcPr>
          <w:p>
            <w:r/>
            <w:r>
              <w:rPr>
                <w:rFonts w:ascii="Arial" w:hAnsi="Arial"/>
                <w:sz w:val="20"/>
              </w:rPr>
              <w:t>8000</w:t>
            </w:r>
          </w:p>
        </w:tc>
        <w:tc>
          <w:tcPr>
            <w:tcW w:type="dxa" w:w="4464"/>
          </w:tcPr>
          <w:p>
            <w:r/>
            <w:r>
              <w:rPr>
                <w:rFonts w:ascii="Arial" w:hAnsi="Arial"/>
                <w:sz w:val="20"/>
              </w:rPr>
              <w:t>FastAPI backend — runs migrations then starts uvicorn (4 workers)</w:t>
            </w:r>
          </w:p>
        </w:tc>
      </w:tr>
      <w:tr>
        <w:tc>
          <w:tcPr>
            <w:tcW w:type="dxa" w:w="1728"/>
          </w:tcPr>
          <w:p>
            <w:r/>
            <w:r>
              <w:rPr>
                <w:rFonts w:ascii="Arial" w:hAnsi="Arial"/>
                <w:sz w:val="20"/>
              </w:rPr>
              <w:t>celery</w:t>
            </w:r>
          </w:p>
        </w:tc>
        <w:tc>
          <w:tcPr>
            <w:tcW w:type="dxa" w:w="2160"/>
          </w:tcPr>
          <w:p>
            <w:r/>
            <w:r>
              <w:rPr>
                <w:rFonts w:ascii="Arial" w:hAnsi="Arial"/>
                <w:sz w:val="20"/>
              </w:rPr>
              <w:t>seema-api (custom)</w:t>
            </w:r>
          </w:p>
        </w:tc>
        <w:tc>
          <w:tcPr>
            <w:tcW w:type="dxa" w:w="1008"/>
          </w:tcPr>
          <w:p>
            <w:r/>
            <w:r>
              <w:rPr>
                <w:rFonts w:ascii="Arial" w:hAnsi="Arial"/>
                <w:sz w:val="20"/>
              </w:rPr>
              <w:t>—</w:t>
            </w:r>
          </w:p>
        </w:tc>
        <w:tc>
          <w:tcPr>
            <w:tcW w:type="dxa" w:w="4464"/>
          </w:tcPr>
          <w:p>
            <w:r/>
            <w:r>
              <w:rPr>
                <w:rFonts w:ascii="Arial" w:hAnsi="Arial"/>
                <w:sz w:val="20"/>
              </w:rPr>
              <w:t>Celery worker — processes background tasks (2 concurrency)</w:t>
            </w:r>
          </w:p>
        </w:tc>
      </w:tr>
      <w:tr>
        <w:tc>
          <w:tcPr>
            <w:tcW w:type="dxa" w:w="1728"/>
          </w:tcPr>
          <w:p>
            <w:r/>
            <w:r>
              <w:rPr>
                <w:rFonts w:ascii="Arial" w:hAnsi="Arial"/>
                <w:sz w:val="20"/>
              </w:rPr>
              <w:t>celery-beat</w:t>
            </w:r>
          </w:p>
        </w:tc>
        <w:tc>
          <w:tcPr>
            <w:tcW w:type="dxa" w:w="2160"/>
          </w:tcPr>
          <w:p>
            <w:r/>
            <w:r>
              <w:rPr>
                <w:rFonts w:ascii="Arial" w:hAnsi="Arial"/>
                <w:sz w:val="20"/>
              </w:rPr>
              <w:t>seema-api (custom)</w:t>
            </w:r>
          </w:p>
        </w:tc>
        <w:tc>
          <w:tcPr>
            <w:tcW w:type="dxa" w:w="1008"/>
          </w:tcPr>
          <w:p>
            <w:r/>
            <w:r>
              <w:rPr>
                <w:rFonts w:ascii="Arial" w:hAnsi="Arial"/>
                <w:sz w:val="20"/>
              </w:rPr>
              <w:t>—</w:t>
            </w:r>
          </w:p>
        </w:tc>
        <w:tc>
          <w:tcPr>
            <w:tcW w:type="dxa" w:w="4464"/>
          </w:tcPr>
          <w:p>
            <w:r/>
            <w:r>
              <w:rPr>
                <w:rFonts w:ascii="Arial" w:hAnsi="Arial"/>
                <w:sz w:val="20"/>
              </w:rPr>
              <w:t>Celery Beat — schedules daily chase engine and scraper runs</w:t>
            </w:r>
          </w:p>
        </w:tc>
      </w:tr>
      <w:tr>
        <w:tc>
          <w:tcPr>
            <w:tcW w:type="dxa" w:w="1728"/>
          </w:tcPr>
          <w:p>
            <w:r/>
            <w:r>
              <w:rPr>
                <w:rFonts w:ascii="Arial" w:hAnsi="Arial"/>
                <w:sz w:val="20"/>
              </w:rPr>
              <w:t>web</w:t>
            </w:r>
          </w:p>
        </w:tc>
        <w:tc>
          <w:tcPr>
            <w:tcW w:type="dxa" w:w="2160"/>
          </w:tcPr>
          <w:p>
            <w:r/>
            <w:r>
              <w:rPr>
                <w:rFonts w:ascii="Arial" w:hAnsi="Arial"/>
                <w:sz w:val="20"/>
              </w:rPr>
              <w:t>seema-web (custom)</w:t>
            </w:r>
          </w:p>
        </w:tc>
        <w:tc>
          <w:tcPr>
            <w:tcW w:type="dxa" w:w="1008"/>
          </w:tcPr>
          <w:p>
            <w:r/>
            <w:r>
              <w:rPr>
                <w:rFonts w:ascii="Arial" w:hAnsi="Arial"/>
                <w:sz w:val="20"/>
              </w:rPr>
              <w:t>3000</w:t>
            </w:r>
          </w:p>
        </w:tc>
        <w:tc>
          <w:tcPr>
            <w:tcW w:type="dxa" w:w="4464"/>
          </w:tcPr>
          <w:p>
            <w:r/>
            <w:r>
              <w:rPr>
                <w:rFonts w:ascii="Arial" w:hAnsi="Arial"/>
                <w:sz w:val="20"/>
              </w:rPr>
              <w:t>Next.js frontend (standalone production build)</w:t>
            </w:r>
          </w:p>
        </w:tc>
      </w:tr>
      <w:tr>
        <w:tc>
          <w:tcPr>
            <w:tcW w:type="dxa" w:w="1728"/>
          </w:tcPr>
          <w:p>
            <w:r/>
            <w:r>
              <w:rPr>
                <w:rFonts w:ascii="Arial" w:hAnsi="Arial"/>
                <w:sz w:val="20"/>
              </w:rPr>
              <w:t>nginx</w:t>
            </w:r>
          </w:p>
        </w:tc>
        <w:tc>
          <w:tcPr>
            <w:tcW w:type="dxa" w:w="2160"/>
          </w:tcPr>
          <w:p>
            <w:r/>
            <w:r>
              <w:rPr>
                <w:rFonts w:ascii="Arial" w:hAnsi="Arial"/>
                <w:sz w:val="20"/>
              </w:rPr>
              <w:t>nginx:alpine</w:t>
            </w:r>
          </w:p>
        </w:tc>
        <w:tc>
          <w:tcPr>
            <w:tcW w:type="dxa" w:w="1008"/>
          </w:tcPr>
          <w:p>
            <w:r/>
            <w:r>
              <w:rPr>
                <w:rFonts w:ascii="Arial" w:hAnsi="Arial"/>
                <w:sz w:val="20"/>
              </w:rPr>
              <w:t>80, 443</w:t>
            </w:r>
          </w:p>
        </w:tc>
        <w:tc>
          <w:tcPr>
            <w:tcW w:type="dxa" w:w="4464"/>
          </w:tcPr>
          <w:p>
            <w:r/>
            <w:r>
              <w:rPr>
                <w:rFonts w:ascii="Arial" w:hAnsi="Arial"/>
                <w:sz w:val="20"/>
              </w:rPr>
              <w:t>Reverse proxy — routes /api to FastAPI, / to Next.js</w:t>
            </w:r>
          </w:p>
        </w:tc>
      </w:tr>
      <w:tr>
        <w:tc>
          <w:tcPr>
            <w:tcW w:type="dxa" w:w="1728"/>
          </w:tcPr>
          <w:p>
            <w:r/>
            <w:r>
              <w:rPr>
                <w:rFonts w:ascii="Arial" w:hAnsi="Arial"/>
                <w:sz w:val="20"/>
              </w:rPr>
              <w:t>certbot</w:t>
            </w:r>
          </w:p>
        </w:tc>
        <w:tc>
          <w:tcPr>
            <w:tcW w:type="dxa" w:w="2160"/>
          </w:tcPr>
          <w:p>
            <w:r/>
            <w:r>
              <w:rPr>
                <w:rFonts w:ascii="Arial" w:hAnsi="Arial"/>
                <w:sz w:val="20"/>
              </w:rPr>
              <w:t>certbot/certbot</w:t>
            </w:r>
          </w:p>
        </w:tc>
        <w:tc>
          <w:tcPr>
            <w:tcW w:type="dxa" w:w="1008"/>
          </w:tcPr>
          <w:p>
            <w:r/>
            <w:r>
              <w:rPr>
                <w:rFonts w:ascii="Arial" w:hAnsi="Arial"/>
                <w:sz w:val="20"/>
              </w:rPr>
              <w:t>—</w:t>
            </w:r>
          </w:p>
        </w:tc>
        <w:tc>
          <w:tcPr>
            <w:tcW w:type="dxa" w:w="4464"/>
          </w:tcPr>
          <w:p>
            <w:r/>
            <w:r>
              <w:rPr>
                <w:rFonts w:ascii="Arial" w:hAnsi="Arial"/>
                <w:sz w:val="20"/>
              </w:rPr>
              <w:t>Auto-renews Let's Encrypt SSL certificates every 12 hours</w:t>
            </w:r>
          </w:p>
        </w:tc>
      </w:tr>
    </w:tbl>
    <w:p/>
    <w:p>
      <w:pPr>
        <w:pStyle w:val="Heading2"/>
      </w:pPr>
      <w:r>
        <w:t>13.2 Startup Command</w:t>
      </w:r>
    </w:p>
    <w:p>
      <w:r>
        <w:t>To start the full stack locally:</w:t>
      </w:r>
    </w:p>
    <w:p>
      <w:r>
        <w:rPr>
          <w:rFonts w:ascii="Courier New" w:hAnsi="Courier New"/>
          <w:sz w:val="20"/>
        </w:rPr>
        <w:t>cd ~/Desktop/Seema &amp;&amp; docker compose up --build</w:t>
      </w:r>
    </w:p>
    <w:p>
      <w:r>
        <w:t>The API container automatically runs Alembic migrations before starting the server. First run will take several minutes to build images and download dependencies.</w:t>
      </w:r>
    </w:p>
    <w:p>
      <w:pPr>
        <w:pStyle w:val="Heading2"/>
      </w:pPr>
      <w:r>
        <w:t>13.3 Production Domain</w:t>
      </w:r>
    </w:p>
    <w:p>
      <w:r>
        <w:t>Target domain: seemaai.co.uk. Nginx config routes api.seemaai.co.uk to the API container and seemaai.co.uk / www.seemaai.co.uk to the Next.js container. SSL via Let's Encrypt.</w:t>
      </w:r>
    </w:p>
    <w:p>
      <w:r>
        <w:br w:type="page"/>
      </w:r>
    </w:p>
    <w:p>
      <w:pPr>
        <w:pStyle w:val="Heading1"/>
      </w:pPr>
      <w:r>
        <w:t>14. Environment Variables</w:t>
      </w:r>
    </w:p>
    <w:p>
      <w:r>
        <w:t>All environment variables are defined in seema-api/.env (copied from .env.example). The frontend uses NEXT_PUBLIC_API_URL set in docker-compose.yml.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1a1a2e" w:color="auto" w:val="clear"/>
          </w:tcPr>
          <w:p>
            <w:r/>
            <w:r>
              <w:rPr>
                <w:rFonts w:ascii="Arial" w:hAnsi="Arial"/>
                <w:b/>
                <w:color w:val="FFFFFF"/>
                <w:sz w:val="20"/>
              </w:rPr>
              <w:t>Variable</w:t>
            </w:r>
          </w:p>
        </w:tc>
        <w:tc>
          <w:tcPr>
            <w:tcW w:type="dxa" w:w="2592"/>
            <w:shd w:fill="1a1a2e" w:color="auto" w:val="clear"/>
          </w:tcPr>
          <w:p>
            <w:r/>
            <w:r>
              <w:rPr>
                <w:rFonts w:ascii="Arial" w:hAnsi="Arial"/>
                <w:b/>
                <w:color w:val="FFFFFF"/>
                <w:sz w:val="20"/>
              </w:rPr>
              <w:t>Example Value</w:t>
            </w:r>
          </w:p>
        </w:tc>
        <w:tc>
          <w:tcPr>
            <w:tcW w:type="dxa" w:w="1008"/>
            <w:shd w:fill="1a1a2e" w:color="auto" w:val="clear"/>
          </w:tcPr>
          <w:p>
            <w:r/>
            <w:r>
              <w:rPr>
                <w:rFonts w:ascii="Arial" w:hAnsi="Arial"/>
                <w:b/>
                <w:color w:val="FFFFFF"/>
                <w:sz w:val="20"/>
              </w:rPr>
              <w:t>Required</w:t>
            </w:r>
          </w:p>
        </w:tc>
        <w:tc>
          <w:tcPr>
            <w:tcW w:type="dxa" w:w="2880"/>
            <w:shd w:fill="1a1a2e" w:color="auto" w:val="clear"/>
          </w:tcPr>
          <w:p>
            <w:r/>
            <w:r>
              <w:rPr>
                <w:rFonts w:ascii="Arial" w:hAnsi="Arial"/>
                <w:b/>
                <w:color w:val="FFFFFF"/>
                <w:sz w:val="20"/>
              </w:rPr>
              <w:t>Description</w:t>
            </w:r>
          </w:p>
        </w:tc>
      </w:tr>
      <w:tr>
        <w:tc>
          <w:tcPr>
            <w:tcW w:type="dxa" w:w="2880"/>
          </w:tcPr>
          <w:p>
            <w:r/>
            <w:r>
              <w:rPr>
                <w:rFonts w:ascii="Arial" w:hAnsi="Arial"/>
                <w:sz w:val="20"/>
              </w:rPr>
              <w:t>DATABASE_URL</w:t>
            </w:r>
          </w:p>
        </w:tc>
        <w:tc>
          <w:tcPr>
            <w:tcW w:type="dxa" w:w="2592"/>
          </w:tcPr>
          <w:p>
            <w:r/>
            <w:r>
              <w:rPr>
                <w:rFonts w:ascii="Arial" w:hAnsi="Arial"/>
                <w:sz w:val="20"/>
              </w:rPr>
              <w:t>postgresql+asyncpg://seema:PASSWORD@db:5432/seema</w:t>
            </w:r>
          </w:p>
        </w:tc>
        <w:tc>
          <w:tcPr>
            <w:tcW w:type="dxa" w:w="1008"/>
          </w:tcPr>
          <w:p>
            <w:r/>
            <w:r>
              <w:rPr>
                <w:rFonts w:ascii="Arial" w:hAnsi="Arial"/>
                <w:sz w:val="20"/>
              </w:rPr>
              <w:t>Yes</w:t>
            </w:r>
          </w:p>
        </w:tc>
        <w:tc>
          <w:tcPr>
            <w:tcW w:type="dxa" w:w="2880"/>
          </w:tcPr>
          <w:p>
            <w:r/>
            <w:r>
              <w:rPr>
                <w:rFonts w:ascii="Arial" w:hAnsi="Arial"/>
                <w:sz w:val="20"/>
              </w:rPr>
              <w:t>Async PostgreSQL connection string</w:t>
            </w:r>
          </w:p>
        </w:tc>
      </w:tr>
      <w:tr>
        <w:tc>
          <w:tcPr>
            <w:tcW w:type="dxa" w:w="2880"/>
          </w:tcPr>
          <w:p>
            <w:r/>
            <w:r>
              <w:rPr>
                <w:rFonts w:ascii="Arial" w:hAnsi="Arial"/>
                <w:sz w:val="20"/>
              </w:rPr>
              <w:t>JWT_SECRET</w:t>
            </w:r>
          </w:p>
        </w:tc>
        <w:tc>
          <w:tcPr>
            <w:tcW w:type="dxa" w:w="2592"/>
          </w:tcPr>
          <w:p>
            <w:r/>
            <w:r>
              <w:rPr>
                <w:rFonts w:ascii="Arial" w:hAnsi="Arial"/>
                <w:sz w:val="20"/>
              </w:rPr>
              <w:t>(generate with openssl rand -hex 32)</w:t>
            </w:r>
          </w:p>
        </w:tc>
        <w:tc>
          <w:tcPr>
            <w:tcW w:type="dxa" w:w="1008"/>
          </w:tcPr>
          <w:p>
            <w:r/>
            <w:r>
              <w:rPr>
                <w:rFonts w:ascii="Arial" w:hAnsi="Arial"/>
                <w:sz w:val="20"/>
              </w:rPr>
              <w:t>Yes</w:t>
            </w:r>
          </w:p>
        </w:tc>
        <w:tc>
          <w:tcPr>
            <w:tcW w:type="dxa" w:w="2880"/>
          </w:tcPr>
          <w:p>
            <w:r/>
            <w:r>
              <w:rPr>
                <w:rFonts w:ascii="Arial" w:hAnsi="Arial"/>
                <w:sz w:val="20"/>
              </w:rPr>
              <w:t>Token signing secret — MUST be unique</w:t>
            </w:r>
          </w:p>
        </w:tc>
      </w:tr>
      <w:tr>
        <w:tc>
          <w:tcPr>
            <w:tcW w:type="dxa" w:w="2880"/>
          </w:tcPr>
          <w:p>
            <w:r/>
            <w:r>
              <w:rPr>
                <w:rFonts w:ascii="Arial" w:hAnsi="Arial"/>
                <w:sz w:val="20"/>
              </w:rPr>
              <w:t>SENDGRID_API_KEY</w:t>
            </w:r>
          </w:p>
        </w:tc>
        <w:tc>
          <w:tcPr>
            <w:tcW w:type="dxa" w:w="2592"/>
          </w:tcPr>
          <w:p>
            <w:r/>
            <w:r>
              <w:rPr>
                <w:rFonts w:ascii="Arial" w:hAnsi="Arial"/>
                <w:sz w:val="20"/>
              </w:rPr>
              <w:t>SG.xxxxx</w:t>
            </w:r>
          </w:p>
        </w:tc>
        <w:tc>
          <w:tcPr>
            <w:tcW w:type="dxa" w:w="1008"/>
          </w:tcPr>
          <w:p>
            <w:r/>
            <w:r>
              <w:rPr>
                <w:rFonts w:ascii="Arial" w:hAnsi="Arial"/>
                <w:sz w:val="20"/>
              </w:rPr>
              <w:t>Yes*</w:t>
            </w:r>
          </w:p>
        </w:tc>
        <w:tc>
          <w:tcPr>
            <w:tcW w:type="dxa" w:w="2880"/>
          </w:tcPr>
          <w:p>
            <w:r/>
            <w:r>
              <w:rPr>
                <w:rFonts w:ascii="Arial" w:hAnsi="Arial"/>
                <w:sz w:val="20"/>
              </w:rPr>
              <w:t>SendGrid API key (* emails won't send without it)</w:t>
            </w:r>
          </w:p>
        </w:tc>
      </w:tr>
      <w:tr>
        <w:tc>
          <w:tcPr>
            <w:tcW w:type="dxa" w:w="2880"/>
          </w:tcPr>
          <w:p>
            <w:r/>
            <w:r>
              <w:rPr>
                <w:rFonts w:ascii="Arial" w:hAnsi="Arial"/>
                <w:sz w:val="20"/>
              </w:rPr>
              <w:t>EMAIL_FROM</w:t>
            </w:r>
          </w:p>
        </w:tc>
        <w:tc>
          <w:tcPr>
            <w:tcW w:type="dxa" w:w="2592"/>
          </w:tcPr>
          <w:p>
            <w:r/>
            <w:r>
              <w:rPr>
                <w:rFonts w:ascii="Arial" w:hAnsi="Arial"/>
                <w:sz w:val="20"/>
              </w:rPr>
              <w:t>compliance@seemaai.co.uk</w:t>
            </w:r>
          </w:p>
        </w:tc>
        <w:tc>
          <w:tcPr>
            <w:tcW w:type="dxa" w:w="1008"/>
          </w:tcPr>
          <w:p>
            <w:r/>
            <w:r>
              <w:rPr>
                <w:rFonts w:ascii="Arial" w:hAnsi="Arial"/>
                <w:sz w:val="20"/>
              </w:rPr>
              <w:t>No</w:t>
            </w:r>
          </w:p>
        </w:tc>
        <w:tc>
          <w:tcPr>
            <w:tcW w:type="dxa" w:w="2880"/>
          </w:tcPr>
          <w:p>
            <w:r/>
            <w:r>
              <w:rPr>
                <w:rFonts w:ascii="Arial" w:hAnsi="Arial"/>
                <w:sz w:val="20"/>
              </w:rPr>
              <w:t>Sender email address</w:t>
            </w:r>
          </w:p>
        </w:tc>
      </w:tr>
      <w:tr>
        <w:tc>
          <w:tcPr>
            <w:tcW w:type="dxa" w:w="2880"/>
          </w:tcPr>
          <w:p>
            <w:r/>
            <w:r>
              <w:rPr>
                <w:rFonts w:ascii="Arial" w:hAnsi="Arial"/>
                <w:sz w:val="20"/>
              </w:rPr>
              <w:t>EMAIL_FROM_NAME</w:t>
            </w:r>
          </w:p>
        </w:tc>
        <w:tc>
          <w:tcPr>
            <w:tcW w:type="dxa" w:w="2592"/>
          </w:tcPr>
          <w:p>
            <w:r/>
            <w:r>
              <w:rPr>
                <w:rFonts w:ascii="Arial" w:hAnsi="Arial"/>
                <w:sz w:val="20"/>
              </w:rPr>
              <w:t>Seema Compliance</w:t>
            </w:r>
          </w:p>
        </w:tc>
        <w:tc>
          <w:tcPr>
            <w:tcW w:type="dxa" w:w="1008"/>
          </w:tcPr>
          <w:p>
            <w:r/>
            <w:r>
              <w:rPr>
                <w:rFonts w:ascii="Arial" w:hAnsi="Arial"/>
                <w:sz w:val="20"/>
              </w:rPr>
              <w:t>No</w:t>
            </w:r>
          </w:p>
        </w:tc>
        <w:tc>
          <w:tcPr>
            <w:tcW w:type="dxa" w:w="2880"/>
          </w:tcPr>
          <w:p>
            <w:r/>
            <w:r>
              <w:rPr>
                <w:rFonts w:ascii="Arial" w:hAnsi="Arial"/>
                <w:sz w:val="20"/>
              </w:rPr>
              <w:t>Sender display name</w:t>
            </w:r>
          </w:p>
        </w:tc>
      </w:tr>
      <w:tr>
        <w:tc>
          <w:tcPr>
            <w:tcW w:type="dxa" w:w="2880"/>
          </w:tcPr>
          <w:p>
            <w:r/>
            <w:r>
              <w:rPr>
                <w:rFonts w:ascii="Arial" w:hAnsi="Arial"/>
                <w:sz w:val="20"/>
              </w:rPr>
              <w:t>ANTHROPIC_API_KEY</w:t>
            </w:r>
          </w:p>
        </w:tc>
        <w:tc>
          <w:tcPr>
            <w:tcW w:type="dxa" w:w="2592"/>
          </w:tcPr>
          <w:p>
            <w:r/>
            <w:r>
              <w:rPr>
                <w:rFonts w:ascii="Arial" w:hAnsi="Arial"/>
                <w:sz w:val="20"/>
              </w:rPr>
              <w:t>sk-ant-xxxxx</w:t>
            </w:r>
          </w:p>
        </w:tc>
        <w:tc>
          <w:tcPr>
            <w:tcW w:type="dxa" w:w="1008"/>
          </w:tcPr>
          <w:p>
            <w:r/>
            <w:r>
              <w:rPr>
                <w:rFonts w:ascii="Arial" w:hAnsi="Arial"/>
                <w:sz w:val="20"/>
              </w:rPr>
              <w:t>Yes*</w:t>
            </w:r>
          </w:p>
        </w:tc>
        <w:tc>
          <w:tcPr>
            <w:tcW w:type="dxa" w:w="2880"/>
          </w:tcPr>
          <w:p>
            <w:r/>
            <w:r>
              <w:rPr>
                <w:rFonts w:ascii="Arial" w:hAnsi="Arial"/>
                <w:sz w:val="20"/>
              </w:rPr>
              <w:t>Claude API key (* AI analysis won't work without it)</w:t>
            </w:r>
          </w:p>
        </w:tc>
      </w:tr>
      <w:tr>
        <w:tc>
          <w:tcPr>
            <w:tcW w:type="dxa" w:w="2880"/>
          </w:tcPr>
          <w:p>
            <w:r/>
            <w:r>
              <w:rPr>
                <w:rFonts w:ascii="Arial" w:hAnsi="Arial"/>
                <w:sz w:val="20"/>
              </w:rPr>
              <w:t>AI_MODEL</w:t>
            </w:r>
          </w:p>
        </w:tc>
        <w:tc>
          <w:tcPr>
            <w:tcW w:type="dxa" w:w="2592"/>
          </w:tcPr>
          <w:p>
            <w:r/>
            <w:r>
              <w:rPr>
                <w:rFonts w:ascii="Arial" w:hAnsi="Arial"/>
                <w:sz w:val="20"/>
              </w:rPr>
              <w:t>claude-sonnet-4-20250514</w:t>
            </w:r>
          </w:p>
        </w:tc>
        <w:tc>
          <w:tcPr>
            <w:tcW w:type="dxa" w:w="1008"/>
          </w:tcPr>
          <w:p>
            <w:r/>
            <w:r>
              <w:rPr>
                <w:rFonts w:ascii="Arial" w:hAnsi="Arial"/>
                <w:sz w:val="20"/>
              </w:rPr>
              <w:t>No</w:t>
            </w:r>
          </w:p>
        </w:tc>
        <w:tc>
          <w:tcPr>
            <w:tcW w:type="dxa" w:w="2880"/>
          </w:tcPr>
          <w:p>
            <w:r/>
            <w:r>
              <w:rPr>
                <w:rFonts w:ascii="Arial" w:hAnsi="Arial"/>
                <w:sz w:val="20"/>
              </w:rPr>
              <w:t>Claude model to use</w:t>
            </w:r>
          </w:p>
        </w:tc>
      </w:tr>
      <w:tr>
        <w:tc>
          <w:tcPr>
            <w:tcW w:type="dxa" w:w="2880"/>
          </w:tcPr>
          <w:p>
            <w:r/>
            <w:r>
              <w:rPr>
                <w:rFonts w:ascii="Arial" w:hAnsi="Arial"/>
                <w:sz w:val="20"/>
              </w:rPr>
              <w:t>STRIPE_SECRET_KEY</w:t>
            </w:r>
          </w:p>
        </w:tc>
        <w:tc>
          <w:tcPr>
            <w:tcW w:type="dxa" w:w="2592"/>
          </w:tcPr>
          <w:p>
            <w:r/>
            <w:r>
              <w:rPr>
                <w:rFonts w:ascii="Arial" w:hAnsi="Arial"/>
                <w:sz w:val="20"/>
              </w:rPr>
              <w:t>sk_live_xxxxx</w:t>
            </w:r>
          </w:p>
        </w:tc>
        <w:tc>
          <w:tcPr>
            <w:tcW w:type="dxa" w:w="1008"/>
          </w:tcPr>
          <w:p>
            <w:r/>
            <w:r>
              <w:rPr>
                <w:rFonts w:ascii="Arial" w:hAnsi="Arial"/>
                <w:sz w:val="20"/>
              </w:rPr>
              <w:t>Yes*</w:t>
            </w:r>
          </w:p>
        </w:tc>
        <w:tc>
          <w:tcPr>
            <w:tcW w:type="dxa" w:w="2880"/>
          </w:tcPr>
          <w:p>
            <w:r/>
            <w:r>
              <w:rPr>
                <w:rFonts w:ascii="Arial" w:hAnsi="Arial"/>
                <w:sz w:val="20"/>
              </w:rPr>
              <w:t>Stripe secret key (* billing won't work without it)</w:t>
            </w:r>
          </w:p>
        </w:tc>
      </w:tr>
      <w:tr>
        <w:tc>
          <w:tcPr>
            <w:tcW w:type="dxa" w:w="2880"/>
          </w:tcPr>
          <w:p>
            <w:r/>
            <w:r>
              <w:rPr>
                <w:rFonts w:ascii="Arial" w:hAnsi="Arial"/>
                <w:sz w:val="20"/>
              </w:rPr>
              <w:t>STRIPE_WEBHOOK_SECRET</w:t>
            </w:r>
          </w:p>
        </w:tc>
        <w:tc>
          <w:tcPr>
            <w:tcW w:type="dxa" w:w="2592"/>
          </w:tcPr>
          <w:p>
            <w:r/>
            <w:r>
              <w:rPr>
                <w:rFonts w:ascii="Arial" w:hAnsi="Arial"/>
                <w:sz w:val="20"/>
              </w:rPr>
              <w:t>whsec_xxxxx</w:t>
            </w:r>
          </w:p>
        </w:tc>
        <w:tc>
          <w:tcPr>
            <w:tcW w:type="dxa" w:w="1008"/>
          </w:tcPr>
          <w:p>
            <w:r/>
            <w:r>
              <w:rPr>
                <w:rFonts w:ascii="Arial" w:hAnsi="Arial"/>
                <w:sz w:val="20"/>
              </w:rPr>
              <w:t>Yes*</w:t>
            </w:r>
          </w:p>
        </w:tc>
        <w:tc>
          <w:tcPr>
            <w:tcW w:type="dxa" w:w="2880"/>
          </w:tcPr>
          <w:p>
            <w:r/>
            <w:r>
              <w:rPr>
                <w:rFonts w:ascii="Arial" w:hAnsi="Arial"/>
                <w:sz w:val="20"/>
              </w:rPr>
              <w:t>Stripe webhook signing secret</w:t>
            </w:r>
          </w:p>
        </w:tc>
      </w:tr>
      <w:tr>
        <w:tc>
          <w:tcPr>
            <w:tcW w:type="dxa" w:w="2880"/>
          </w:tcPr>
          <w:p>
            <w:r/>
            <w:r>
              <w:rPr>
                <w:rFonts w:ascii="Arial" w:hAnsi="Arial"/>
                <w:sz w:val="20"/>
              </w:rPr>
              <w:t>STRIPE_PRICE_ESSENTIALS_MONTHLY</w:t>
            </w:r>
          </w:p>
        </w:tc>
        <w:tc>
          <w:tcPr>
            <w:tcW w:type="dxa" w:w="2592"/>
          </w:tcPr>
          <w:p>
            <w:r/>
            <w:r>
              <w:rPr>
                <w:rFonts w:ascii="Arial" w:hAnsi="Arial"/>
                <w:sz w:val="20"/>
              </w:rPr>
              <w:t>price_xxxxx</w:t>
            </w:r>
          </w:p>
        </w:tc>
        <w:tc>
          <w:tcPr>
            <w:tcW w:type="dxa" w:w="1008"/>
          </w:tcPr>
          <w:p>
            <w:r/>
            <w:r>
              <w:rPr>
                <w:rFonts w:ascii="Arial" w:hAnsi="Arial"/>
                <w:sz w:val="20"/>
              </w:rPr>
              <w:t>Yes*</w:t>
            </w:r>
          </w:p>
        </w:tc>
        <w:tc>
          <w:tcPr>
            <w:tcW w:type="dxa" w:w="2880"/>
          </w:tcPr>
          <w:p>
            <w:r/>
            <w:r>
              <w:rPr>
                <w:rFonts w:ascii="Arial" w:hAnsi="Arial"/>
                <w:sz w:val="20"/>
              </w:rPr>
              <w:t>Stripe Price ID for Essentials monthly</w:t>
            </w:r>
          </w:p>
        </w:tc>
      </w:tr>
      <w:tr>
        <w:tc>
          <w:tcPr>
            <w:tcW w:type="dxa" w:w="2880"/>
          </w:tcPr>
          <w:p>
            <w:r/>
            <w:r>
              <w:rPr>
                <w:rFonts w:ascii="Arial" w:hAnsi="Arial"/>
                <w:sz w:val="20"/>
              </w:rPr>
              <w:t>STRIPE_PRICE_PROFESSIONAL_MONTHLY</w:t>
            </w:r>
          </w:p>
        </w:tc>
        <w:tc>
          <w:tcPr>
            <w:tcW w:type="dxa" w:w="2592"/>
          </w:tcPr>
          <w:p>
            <w:r/>
            <w:r>
              <w:rPr>
                <w:rFonts w:ascii="Arial" w:hAnsi="Arial"/>
                <w:sz w:val="20"/>
              </w:rPr>
              <w:t>price_xxxxx</w:t>
            </w:r>
          </w:p>
        </w:tc>
        <w:tc>
          <w:tcPr>
            <w:tcW w:type="dxa" w:w="1008"/>
          </w:tcPr>
          <w:p>
            <w:r/>
            <w:r>
              <w:rPr>
                <w:rFonts w:ascii="Arial" w:hAnsi="Arial"/>
                <w:sz w:val="20"/>
              </w:rPr>
              <w:t>Yes*</w:t>
            </w:r>
          </w:p>
        </w:tc>
        <w:tc>
          <w:tcPr>
            <w:tcW w:type="dxa" w:w="2880"/>
          </w:tcPr>
          <w:p>
            <w:r/>
            <w:r>
              <w:rPr>
                <w:rFonts w:ascii="Arial" w:hAnsi="Arial"/>
                <w:sz w:val="20"/>
              </w:rPr>
              <w:t>Stripe Price ID for Professional monthly</w:t>
            </w:r>
          </w:p>
        </w:tc>
      </w:tr>
      <w:tr>
        <w:tc>
          <w:tcPr>
            <w:tcW w:type="dxa" w:w="2880"/>
          </w:tcPr>
          <w:p>
            <w:r/>
            <w:r>
              <w:rPr>
                <w:rFonts w:ascii="Arial" w:hAnsi="Arial"/>
                <w:sz w:val="20"/>
              </w:rPr>
              <w:t>STRIPE_PRICE_ESSENTIALS_ANNUAL</w:t>
            </w:r>
          </w:p>
        </w:tc>
        <w:tc>
          <w:tcPr>
            <w:tcW w:type="dxa" w:w="2592"/>
          </w:tcPr>
          <w:p>
            <w:r/>
            <w:r>
              <w:rPr>
                <w:rFonts w:ascii="Arial" w:hAnsi="Arial"/>
                <w:sz w:val="20"/>
              </w:rPr>
              <w:t>price_xxxxx</w:t>
            </w:r>
          </w:p>
        </w:tc>
        <w:tc>
          <w:tcPr>
            <w:tcW w:type="dxa" w:w="1008"/>
          </w:tcPr>
          <w:p>
            <w:r/>
            <w:r>
              <w:rPr>
                <w:rFonts w:ascii="Arial" w:hAnsi="Arial"/>
                <w:sz w:val="20"/>
              </w:rPr>
              <w:t>Yes*</w:t>
            </w:r>
          </w:p>
        </w:tc>
        <w:tc>
          <w:tcPr>
            <w:tcW w:type="dxa" w:w="2880"/>
          </w:tcPr>
          <w:p>
            <w:r/>
            <w:r>
              <w:rPr>
                <w:rFonts w:ascii="Arial" w:hAnsi="Arial"/>
                <w:sz w:val="20"/>
              </w:rPr>
              <w:t>Stripe Price ID for Essentials annual</w:t>
            </w:r>
          </w:p>
        </w:tc>
      </w:tr>
      <w:tr>
        <w:tc>
          <w:tcPr>
            <w:tcW w:type="dxa" w:w="2880"/>
          </w:tcPr>
          <w:p>
            <w:r/>
            <w:r>
              <w:rPr>
                <w:rFonts w:ascii="Arial" w:hAnsi="Arial"/>
                <w:sz w:val="20"/>
              </w:rPr>
              <w:t>STRIPE_PRICE_PROFESSIONAL_ANNUAL</w:t>
            </w:r>
          </w:p>
        </w:tc>
        <w:tc>
          <w:tcPr>
            <w:tcW w:type="dxa" w:w="2592"/>
          </w:tcPr>
          <w:p>
            <w:r/>
            <w:r>
              <w:rPr>
                <w:rFonts w:ascii="Arial" w:hAnsi="Arial"/>
                <w:sz w:val="20"/>
              </w:rPr>
              <w:t>price_xxxxx</w:t>
            </w:r>
          </w:p>
        </w:tc>
        <w:tc>
          <w:tcPr>
            <w:tcW w:type="dxa" w:w="1008"/>
          </w:tcPr>
          <w:p>
            <w:r/>
            <w:r>
              <w:rPr>
                <w:rFonts w:ascii="Arial" w:hAnsi="Arial"/>
                <w:sz w:val="20"/>
              </w:rPr>
              <w:t>Yes*</w:t>
            </w:r>
          </w:p>
        </w:tc>
        <w:tc>
          <w:tcPr>
            <w:tcW w:type="dxa" w:w="2880"/>
          </w:tcPr>
          <w:p>
            <w:r/>
            <w:r>
              <w:rPr>
                <w:rFonts w:ascii="Arial" w:hAnsi="Arial"/>
                <w:sz w:val="20"/>
              </w:rPr>
              <w:t>Stripe Price ID for Professional annual</w:t>
            </w:r>
          </w:p>
        </w:tc>
      </w:tr>
      <w:tr>
        <w:tc>
          <w:tcPr>
            <w:tcW w:type="dxa" w:w="2880"/>
          </w:tcPr>
          <w:p>
            <w:r/>
            <w:r>
              <w:rPr>
                <w:rFonts w:ascii="Arial" w:hAnsi="Arial"/>
                <w:sz w:val="20"/>
              </w:rPr>
              <w:t>REDIS_URL</w:t>
            </w:r>
          </w:p>
        </w:tc>
        <w:tc>
          <w:tcPr>
            <w:tcW w:type="dxa" w:w="2592"/>
          </w:tcPr>
          <w:p>
            <w:r/>
            <w:r>
              <w:rPr>
                <w:rFonts w:ascii="Arial" w:hAnsi="Arial"/>
                <w:sz w:val="20"/>
              </w:rPr>
              <w:t>redis://redis:6379/0</w:t>
            </w:r>
          </w:p>
        </w:tc>
        <w:tc>
          <w:tcPr>
            <w:tcW w:type="dxa" w:w="1008"/>
          </w:tcPr>
          <w:p>
            <w:r/>
            <w:r>
              <w:rPr>
                <w:rFonts w:ascii="Arial" w:hAnsi="Arial"/>
                <w:sz w:val="20"/>
              </w:rPr>
              <w:t>No</w:t>
            </w:r>
          </w:p>
        </w:tc>
        <w:tc>
          <w:tcPr>
            <w:tcW w:type="dxa" w:w="2880"/>
          </w:tcPr>
          <w:p>
            <w:r/>
            <w:r>
              <w:rPr>
                <w:rFonts w:ascii="Arial" w:hAnsi="Arial"/>
                <w:sz w:val="20"/>
              </w:rPr>
              <w:t>Redis connection string</w:t>
            </w:r>
          </w:p>
        </w:tc>
      </w:tr>
      <w:tr>
        <w:tc>
          <w:tcPr>
            <w:tcW w:type="dxa" w:w="2880"/>
          </w:tcPr>
          <w:p>
            <w:r/>
            <w:r>
              <w:rPr>
                <w:rFonts w:ascii="Arial" w:hAnsi="Arial"/>
                <w:sz w:val="20"/>
              </w:rPr>
              <w:t>CORS_ORIGINS</w:t>
            </w:r>
          </w:p>
        </w:tc>
        <w:tc>
          <w:tcPr>
            <w:tcW w:type="dxa" w:w="2592"/>
          </w:tcPr>
          <w:p>
            <w:r/>
            <w:r>
              <w:rPr>
                <w:rFonts w:ascii="Arial" w:hAnsi="Arial"/>
                <w:sz w:val="20"/>
              </w:rPr>
              <w:t>["https://seemaai.co.uk"]</w:t>
            </w:r>
          </w:p>
        </w:tc>
        <w:tc>
          <w:tcPr>
            <w:tcW w:type="dxa" w:w="1008"/>
          </w:tcPr>
          <w:p>
            <w:r/>
            <w:r>
              <w:rPr>
                <w:rFonts w:ascii="Arial" w:hAnsi="Arial"/>
                <w:sz w:val="20"/>
              </w:rPr>
              <w:t>No</w:t>
            </w:r>
          </w:p>
        </w:tc>
        <w:tc>
          <w:tcPr>
            <w:tcW w:type="dxa" w:w="2880"/>
          </w:tcPr>
          <w:p>
            <w:r/>
            <w:r>
              <w:rPr>
                <w:rFonts w:ascii="Arial" w:hAnsi="Arial"/>
                <w:sz w:val="20"/>
              </w:rPr>
              <w:t>Allowed CORS origins (JSON array)</w:t>
            </w:r>
          </w:p>
        </w:tc>
      </w:tr>
      <w:tr>
        <w:tc>
          <w:tcPr>
            <w:tcW w:type="dxa" w:w="2880"/>
          </w:tcPr>
          <w:p>
            <w:r/>
            <w:r>
              <w:rPr>
                <w:rFonts w:ascii="Arial" w:hAnsi="Arial"/>
                <w:sz w:val="20"/>
              </w:rPr>
              <w:t>NEXT_PUBLIC_API_URL</w:t>
            </w:r>
          </w:p>
        </w:tc>
        <w:tc>
          <w:tcPr>
            <w:tcW w:type="dxa" w:w="2592"/>
          </w:tcPr>
          <w:p>
            <w:r/>
            <w:r>
              <w:rPr>
                <w:rFonts w:ascii="Arial" w:hAnsi="Arial"/>
                <w:sz w:val="20"/>
              </w:rPr>
              <w:t>https://api.seemaai.co.uk/api</w:t>
            </w:r>
          </w:p>
        </w:tc>
        <w:tc>
          <w:tcPr>
            <w:tcW w:type="dxa" w:w="1008"/>
          </w:tcPr>
          <w:p>
            <w:r/>
            <w:r>
              <w:rPr>
                <w:rFonts w:ascii="Arial" w:hAnsi="Arial"/>
                <w:sz w:val="20"/>
              </w:rPr>
              <w:t>Yes</w:t>
            </w:r>
          </w:p>
        </w:tc>
        <w:tc>
          <w:tcPr>
            <w:tcW w:type="dxa" w:w="2880"/>
          </w:tcPr>
          <w:p>
            <w:r/>
            <w:r>
              <w:rPr>
                <w:rFonts w:ascii="Arial" w:hAnsi="Arial"/>
                <w:sz w:val="20"/>
              </w:rPr>
              <w:t>Frontend API base URL (set in docker-compose.yml)</w:t>
            </w:r>
          </w:p>
        </w:tc>
      </w:tr>
    </w:tbl>
    <w:p/>
    <w:p>
      <w:r>
        <w:br w:type="page"/>
      </w:r>
    </w:p>
    <w:p>
      <w:pPr>
        <w:pStyle w:val="Heading1"/>
      </w:pPr>
      <w:r>
        <w:t>15. Developer Setup Guide</w:t>
      </w:r>
    </w:p>
    <w:p>
      <w:pPr>
        <w:pStyle w:val="Heading2"/>
      </w:pPr>
      <w:r>
        <w:t>15.1 Prerequisites</w:t>
      </w:r>
    </w:p>
    <w:p>
      <w:pPr>
        <w:pStyle w:val="ListBullet"/>
      </w:pPr>
      <w:r>
        <w:t>Docker Desktop installed and running</w:t>
      </w:r>
    </w:p>
    <w:p>
      <w:pPr>
        <w:pStyle w:val="ListBullet"/>
      </w:pPr>
      <w:r>
        <w:t>Git for version control</w:t>
      </w:r>
    </w:p>
    <w:p>
      <w:pPr>
        <w:pStyle w:val="ListBullet"/>
      </w:pPr>
      <w:r>
        <w:t>Node.js 18+ (for frontend development outside Docker)</w:t>
      </w:r>
    </w:p>
    <w:p>
      <w:pPr>
        <w:pStyle w:val="ListBullet"/>
      </w:pPr>
      <w:r>
        <w:t>Python 3.12+ (for backend development outside Docker)</w:t>
      </w:r>
    </w:p>
    <w:p>
      <w:pPr>
        <w:pStyle w:val="ListBullet"/>
      </w:pPr>
      <w:r>
        <w:t>A Stripe account with test-mode API keys</w:t>
      </w:r>
    </w:p>
    <w:p>
      <w:pPr>
        <w:pStyle w:val="ListBullet"/>
      </w:pPr>
      <w:r>
        <w:t>A SendGrid account with a verified sender</w:t>
      </w:r>
    </w:p>
    <w:p>
      <w:pPr>
        <w:pStyle w:val="ListBullet"/>
      </w:pPr>
      <w:r>
        <w:t>An Anthropic API key</w:t>
      </w:r>
    </w:p>
    <w:p>
      <w:pPr>
        <w:pStyle w:val="Heading2"/>
      </w:pPr>
      <w:r>
        <w:t>15.2 First-Time Setup</w:t>
      </w:r>
    </w:p>
    <w:p>
      <w:r>
        <w:t>1. Clone the repository and navigate to the Seema directory.</w:t>
      </w:r>
    </w:p>
    <w:p>
      <w:r>
        <w:t>2. Copy seema-api/.env.example to seema-api/.env and fill in all required values.</w:t>
      </w:r>
    </w:p>
    <w:p>
      <w:r>
        <w:t>3. Generate a JWT secret: openssl rand -hex 32 — paste into JWT_SECRET.</w:t>
      </w:r>
    </w:p>
    <w:p>
      <w:r>
        <w:t>4. For local development, change NEXT_PUBLIC_API_URL in docker-compose.yml to http://localhost:8000.</w:t>
      </w:r>
    </w:p>
    <w:p>
      <w:r>
        <w:t>5. Run: docker compose up --build — this builds all containers, runs database migrations, and starts the full stack.</w:t>
      </w:r>
    </w:p>
    <w:p>
      <w:r>
        <w:t>6. Access the frontend at http://localhost:3000 and the API docs at http://localhost:8000/docs.</w:t>
      </w:r>
    </w:p>
    <w:p>
      <w:r>
        <w:t>7. Seed demo data via POST /api/data/seed-demo (authenticated as COLP) or import CSV data via /api/data/import.</w:t>
      </w:r>
    </w:p>
    <w:p>
      <w:pPr>
        <w:pStyle w:val="Heading2"/>
      </w:pPr>
      <w:r>
        <w:t>15.3 Development Workflow</w:t>
      </w:r>
    </w:p>
    <w:p>
      <w:r>
        <w:t>Backend: Edit Python files in seema-api/ — uvicorn auto-reloads on changes. Use docker compose logs -f api to watch logs. Run alembic revision --autogenerate -m "description" for new migrations. Frontend: Edit TypeScript files in seema-web/src/ — Next.js hot-reloads. Use docker compose logs -f web for frontend logs.</w:t>
      </w:r>
    </w:p>
    <w:p>
      <w:r>
        <w:br w:type="page"/>
      </w:r>
    </w:p>
    <w:p>
      <w:pPr>
        <w:pStyle w:val="Heading1"/>
      </w:pPr>
      <w:r>
        <w:t>16. Production Readiness Checklist</w:t>
      </w:r>
    </w:p>
    <w:p>
      <w:r>
        <w:t>The codebase is structurally complete and internally consistent. The following items must be completed before deploying to production with real law firms:</w:t>
      </w:r>
    </w:p>
    <w:p>
      <w:pPr>
        <w:pStyle w:val="Heading2"/>
      </w:pPr>
      <w:r>
        <w:t>16.1 Must-Do Before Launch</w:t>
      </w:r>
    </w:p>
    <w:tbl>
      <w:tblPr>
        <w:tblStyle w:val="TableGrid"/>
        <w:tblW w:type="auto" w:w="0"/>
        <w:jc w:val="center"/>
        <w:tblLook w:firstColumn="1" w:firstRow="1" w:lastColumn="0" w:lastRow="0" w:noHBand="0" w:noVBand="1" w:val="04A0"/>
      </w:tblPr>
      <w:tblGrid>
        <w:gridCol w:w="4680"/>
        <w:gridCol w:w="4680"/>
      </w:tblGrid>
      <w:tr>
        <w:tc>
          <w:tcPr>
            <w:tcW w:type="dxa" w:w="2160"/>
            <w:shd w:fill="1a1a2e" w:color="auto" w:val="clear"/>
          </w:tcPr>
          <w:p>
            <w:r/>
            <w:r>
              <w:rPr>
                <w:rFonts w:ascii="Arial" w:hAnsi="Arial"/>
                <w:b/>
                <w:color w:val="FFFFFF"/>
                <w:sz w:val="20"/>
              </w:rPr>
              <w:t>Area</w:t>
            </w:r>
          </w:p>
        </w:tc>
        <w:tc>
          <w:tcPr>
            <w:tcW w:type="dxa" w:w="7200"/>
            <w:shd w:fill="1a1a2e" w:color="auto" w:val="clear"/>
          </w:tcPr>
          <w:p>
            <w:r/>
            <w:r>
              <w:rPr>
                <w:rFonts w:ascii="Arial" w:hAnsi="Arial"/>
                <w:b/>
                <w:color w:val="FFFFFF"/>
                <w:sz w:val="20"/>
              </w:rPr>
              <w:t>Action Required</w:t>
            </w:r>
          </w:p>
        </w:tc>
      </w:tr>
      <w:tr>
        <w:tc>
          <w:tcPr>
            <w:tcW w:type="dxa" w:w="2160"/>
          </w:tcPr>
          <w:p>
            <w:r/>
            <w:r>
              <w:rPr>
                <w:rFonts w:ascii="Arial" w:hAnsi="Arial"/>
                <w:sz w:val="20"/>
              </w:rPr>
              <w:t>Database</w:t>
            </w:r>
          </w:p>
        </w:tc>
        <w:tc>
          <w:tcPr>
            <w:tcW w:type="dxa" w:w="7200"/>
          </w:tcPr>
          <w:p>
            <w:r/>
            <w:r>
              <w:rPr>
                <w:rFonts w:ascii="Arial" w:hAnsi="Arial"/>
                <w:sz w:val="20"/>
              </w:rPr>
              <w:t>Run Alembic migrations against production PostgreSQL. Verify all 42+ tables are created correctly.</w:t>
            </w:r>
          </w:p>
        </w:tc>
      </w:tr>
      <w:tr>
        <w:tc>
          <w:tcPr>
            <w:tcW w:type="dxa" w:w="2160"/>
          </w:tcPr>
          <w:p>
            <w:r/>
            <w:r>
              <w:rPr>
                <w:rFonts w:ascii="Arial" w:hAnsi="Arial"/>
                <w:sz w:val="20"/>
              </w:rPr>
              <w:t>Environment</w:t>
            </w:r>
          </w:p>
        </w:tc>
        <w:tc>
          <w:tcPr>
            <w:tcW w:type="dxa" w:w="7200"/>
          </w:tcPr>
          <w:p>
            <w:r/>
            <w:r>
              <w:rPr>
                <w:rFonts w:ascii="Arial" w:hAnsi="Arial"/>
                <w:sz w:val="20"/>
              </w:rPr>
              <w:t>Set all production environment variables — real Stripe keys (live mode), SendGrid verified domain, Anthropic API key, strong JWT secret.</w:t>
            </w:r>
          </w:p>
        </w:tc>
      </w:tr>
      <w:tr>
        <w:tc>
          <w:tcPr>
            <w:tcW w:type="dxa" w:w="2160"/>
          </w:tcPr>
          <w:p>
            <w:r/>
            <w:r>
              <w:rPr>
                <w:rFonts w:ascii="Arial" w:hAnsi="Arial"/>
                <w:sz w:val="20"/>
              </w:rPr>
              <w:t>Stripe Products</w:t>
            </w:r>
          </w:p>
        </w:tc>
        <w:tc>
          <w:tcPr>
            <w:tcW w:type="dxa" w:w="7200"/>
          </w:tcPr>
          <w:p>
            <w:r/>
            <w:r>
              <w:rPr>
                <w:rFonts w:ascii="Arial" w:hAnsi="Arial"/>
                <w:sz w:val="20"/>
              </w:rPr>
              <w:t>Create the Essentials and Professional products in Stripe Dashboard. Create monthly and annual Price objects. Set the 4 STRIPE_PRICE_* env vars.</w:t>
            </w:r>
          </w:p>
        </w:tc>
      </w:tr>
      <w:tr>
        <w:tc>
          <w:tcPr>
            <w:tcW w:type="dxa" w:w="2160"/>
          </w:tcPr>
          <w:p>
            <w:r/>
            <w:r>
              <w:rPr>
                <w:rFonts w:ascii="Arial" w:hAnsi="Arial"/>
                <w:sz w:val="20"/>
              </w:rPr>
              <w:t>Stripe Webhooks</w:t>
            </w:r>
          </w:p>
        </w:tc>
        <w:tc>
          <w:tcPr>
            <w:tcW w:type="dxa" w:w="7200"/>
          </w:tcPr>
          <w:p>
            <w:r/>
            <w:r>
              <w:rPr>
                <w:rFonts w:ascii="Arial" w:hAnsi="Arial"/>
                <w:sz w:val="20"/>
              </w:rPr>
              <w:t>Configure webhook endpoint in Stripe Dashboard pointing to https://api.seemaai.co.uk/api/billing/webhook. Subscribe to invoice.paid, invoice.payment_failed, customer.subscription.updated, customer.subscription.deleted.</w:t>
            </w:r>
          </w:p>
        </w:tc>
      </w:tr>
      <w:tr>
        <w:tc>
          <w:tcPr>
            <w:tcW w:type="dxa" w:w="2160"/>
          </w:tcPr>
          <w:p>
            <w:r/>
            <w:r>
              <w:rPr>
                <w:rFonts w:ascii="Arial" w:hAnsi="Arial"/>
                <w:sz w:val="20"/>
              </w:rPr>
              <w:t>SendGrid</w:t>
            </w:r>
          </w:p>
        </w:tc>
        <w:tc>
          <w:tcPr>
            <w:tcW w:type="dxa" w:w="7200"/>
          </w:tcPr>
          <w:p>
            <w:r/>
            <w:r>
              <w:rPr>
                <w:rFonts w:ascii="Arial" w:hAnsi="Arial"/>
                <w:sz w:val="20"/>
              </w:rPr>
              <w:t>Verify sender domain (seemaai.co.uk). Test email delivery for all 8 email templates.</w:t>
            </w:r>
          </w:p>
        </w:tc>
      </w:tr>
      <w:tr>
        <w:tc>
          <w:tcPr>
            <w:tcW w:type="dxa" w:w="2160"/>
          </w:tcPr>
          <w:p>
            <w:r/>
            <w:r>
              <w:rPr>
                <w:rFonts w:ascii="Arial" w:hAnsi="Arial"/>
                <w:sz w:val="20"/>
              </w:rPr>
              <w:t>SSL</w:t>
            </w:r>
          </w:p>
        </w:tc>
        <w:tc>
          <w:tcPr>
            <w:tcW w:type="dxa" w:w="7200"/>
          </w:tcPr>
          <w:p>
            <w:r/>
            <w:r>
              <w:rPr>
                <w:rFonts w:ascii="Arial" w:hAnsi="Arial"/>
                <w:sz w:val="20"/>
              </w:rPr>
              <w:t>Run certbot to issue Let's Encrypt certificates for seemaai.co.uk and api.seemaai.co.uk.</w:t>
            </w:r>
          </w:p>
        </w:tc>
      </w:tr>
      <w:tr>
        <w:tc>
          <w:tcPr>
            <w:tcW w:type="dxa" w:w="2160"/>
          </w:tcPr>
          <w:p>
            <w:r/>
            <w:r>
              <w:rPr>
                <w:rFonts w:ascii="Arial" w:hAnsi="Arial"/>
                <w:sz w:val="20"/>
              </w:rPr>
              <w:t>CORS</w:t>
            </w:r>
          </w:p>
        </w:tc>
        <w:tc>
          <w:tcPr>
            <w:tcW w:type="dxa" w:w="7200"/>
          </w:tcPr>
          <w:p>
            <w:r/>
            <w:r>
              <w:rPr>
                <w:rFonts w:ascii="Arial" w:hAnsi="Arial"/>
                <w:sz w:val="20"/>
              </w:rPr>
              <w:t>Update CORS_ORIGINS in .env to production domains only.</w:t>
            </w:r>
          </w:p>
        </w:tc>
      </w:tr>
      <w:tr>
        <w:tc>
          <w:tcPr>
            <w:tcW w:type="dxa" w:w="2160"/>
          </w:tcPr>
          <w:p>
            <w:r/>
            <w:r>
              <w:rPr>
                <w:rFonts w:ascii="Arial" w:hAnsi="Arial"/>
                <w:sz w:val="20"/>
              </w:rPr>
              <w:t>SRA Scraper</w:t>
            </w:r>
          </w:p>
        </w:tc>
        <w:tc>
          <w:tcPr>
            <w:tcW w:type="dxa" w:w="7200"/>
          </w:tcPr>
          <w:p>
            <w:r/>
            <w:r>
              <w:rPr>
                <w:rFonts w:ascii="Arial" w:hAnsi="Arial"/>
                <w:sz w:val="20"/>
              </w:rPr>
              <w:t>Verify the HTML selectors in sra_lookup.py match the current SRA register page structure. The SRA may change their HTML at any time.</w:t>
            </w:r>
          </w:p>
        </w:tc>
      </w:tr>
      <w:tr>
        <w:tc>
          <w:tcPr>
            <w:tcW w:type="dxa" w:w="2160"/>
          </w:tcPr>
          <w:p>
            <w:r/>
            <w:r>
              <w:rPr>
                <w:rFonts w:ascii="Arial" w:hAnsi="Arial"/>
                <w:sz w:val="20"/>
              </w:rPr>
              <w:t>End-to-End Test</w:t>
            </w:r>
          </w:p>
        </w:tc>
        <w:tc>
          <w:tcPr>
            <w:tcW w:type="dxa" w:w="7200"/>
          </w:tcPr>
          <w:p>
            <w:r/>
            <w:r>
              <w:rPr>
                <w:rFonts w:ascii="Arial" w:hAnsi="Arial"/>
                <w:sz w:val="20"/>
              </w:rPr>
              <w:t>Full flow: register firm → onboard → add staff → create intake → complete training → trigger chase → resolve alert → generate SRA return.</w:t>
            </w:r>
          </w:p>
        </w:tc>
      </w:tr>
      <w:tr>
        <w:tc>
          <w:tcPr>
            <w:tcW w:type="dxa" w:w="2160"/>
          </w:tcPr>
          <w:p>
            <w:r/>
            <w:r>
              <w:rPr>
                <w:rFonts w:ascii="Arial" w:hAnsi="Arial"/>
                <w:sz w:val="20"/>
              </w:rPr>
              <w:t>Data Seeding</w:t>
            </w:r>
          </w:p>
        </w:tc>
        <w:tc>
          <w:tcPr>
            <w:tcW w:type="dxa" w:w="7200"/>
          </w:tcPr>
          <w:p>
            <w:r/>
            <w:r>
              <w:rPr>
                <w:rFonts w:ascii="Arial" w:hAnsi="Arial"/>
                <w:sz w:val="20"/>
              </w:rPr>
              <w:t>Create initial COLP user account for the first firm. This must be done via direct database insert or a setup script.</w:t>
            </w:r>
          </w:p>
        </w:tc>
      </w:tr>
    </w:tbl>
    <w:p/>
    <w:p>
      <w:pPr>
        <w:pStyle w:val="Heading2"/>
      </w:pPr>
      <w:r>
        <w:t>16.2 Should-Do Before Launch</w:t>
      </w:r>
    </w:p>
    <w:tbl>
      <w:tblPr>
        <w:tblStyle w:val="TableGrid"/>
        <w:tblW w:type="auto" w:w="0"/>
        <w:jc w:val="center"/>
        <w:tblLook w:firstColumn="1" w:firstRow="1" w:lastColumn="0" w:lastRow="0" w:noHBand="0" w:noVBand="1" w:val="04A0"/>
      </w:tblPr>
      <w:tblGrid>
        <w:gridCol w:w="4680"/>
        <w:gridCol w:w="4680"/>
      </w:tblGrid>
      <w:tr>
        <w:tc>
          <w:tcPr>
            <w:tcW w:type="dxa" w:w="2160"/>
            <w:shd w:fill="1a1a2e" w:color="auto" w:val="clear"/>
          </w:tcPr>
          <w:p>
            <w:r/>
            <w:r>
              <w:rPr>
                <w:rFonts w:ascii="Arial" w:hAnsi="Arial"/>
                <w:b/>
                <w:color w:val="FFFFFF"/>
                <w:sz w:val="20"/>
              </w:rPr>
              <w:t>Area</w:t>
            </w:r>
          </w:p>
        </w:tc>
        <w:tc>
          <w:tcPr>
            <w:tcW w:type="dxa" w:w="7200"/>
            <w:shd w:fill="1a1a2e" w:color="auto" w:val="clear"/>
          </w:tcPr>
          <w:p>
            <w:r/>
            <w:r>
              <w:rPr>
                <w:rFonts w:ascii="Arial" w:hAnsi="Arial"/>
                <w:b/>
                <w:color w:val="FFFFFF"/>
                <w:sz w:val="20"/>
              </w:rPr>
              <w:t>Action Required</w:t>
            </w:r>
          </w:p>
        </w:tc>
      </w:tr>
      <w:tr>
        <w:tc>
          <w:tcPr>
            <w:tcW w:type="dxa" w:w="2160"/>
          </w:tcPr>
          <w:p>
            <w:r/>
            <w:r>
              <w:rPr>
                <w:rFonts w:ascii="Arial" w:hAnsi="Arial"/>
                <w:sz w:val="20"/>
              </w:rPr>
              <w:t>Error Monitoring</w:t>
            </w:r>
          </w:p>
        </w:tc>
        <w:tc>
          <w:tcPr>
            <w:tcW w:type="dxa" w:w="7200"/>
          </w:tcPr>
          <w:p>
            <w:r/>
            <w:r>
              <w:rPr>
                <w:rFonts w:ascii="Arial" w:hAnsi="Arial"/>
                <w:sz w:val="20"/>
              </w:rPr>
              <w:t>Add Sentry or similar error tracking to both backend and frontend.</w:t>
            </w:r>
          </w:p>
        </w:tc>
      </w:tr>
      <w:tr>
        <w:tc>
          <w:tcPr>
            <w:tcW w:type="dxa" w:w="2160"/>
          </w:tcPr>
          <w:p>
            <w:r/>
            <w:r>
              <w:rPr>
                <w:rFonts w:ascii="Arial" w:hAnsi="Arial"/>
                <w:sz w:val="20"/>
              </w:rPr>
              <w:t>Logging</w:t>
            </w:r>
          </w:p>
        </w:tc>
        <w:tc>
          <w:tcPr>
            <w:tcW w:type="dxa" w:w="7200"/>
          </w:tcPr>
          <w:p>
            <w:r/>
            <w:r>
              <w:rPr>
                <w:rFonts w:ascii="Arial" w:hAnsi="Arial"/>
                <w:sz w:val="20"/>
              </w:rPr>
              <w:t>Configure structured logging (JSON format) and ship to a log aggregator.</w:t>
            </w:r>
          </w:p>
        </w:tc>
      </w:tr>
      <w:tr>
        <w:tc>
          <w:tcPr>
            <w:tcW w:type="dxa" w:w="2160"/>
          </w:tcPr>
          <w:p>
            <w:r/>
            <w:r>
              <w:rPr>
                <w:rFonts w:ascii="Arial" w:hAnsi="Arial"/>
                <w:sz w:val="20"/>
              </w:rPr>
              <w:t>Backups</w:t>
            </w:r>
          </w:p>
        </w:tc>
        <w:tc>
          <w:tcPr>
            <w:tcW w:type="dxa" w:w="7200"/>
          </w:tcPr>
          <w:p>
            <w:r/>
            <w:r>
              <w:rPr>
                <w:rFonts w:ascii="Arial" w:hAnsi="Arial"/>
                <w:sz w:val="20"/>
              </w:rPr>
              <w:t>Set up automated daily PostgreSQL backups with point-in-time recovery.</w:t>
            </w:r>
          </w:p>
        </w:tc>
      </w:tr>
      <w:tr>
        <w:tc>
          <w:tcPr>
            <w:tcW w:type="dxa" w:w="2160"/>
          </w:tcPr>
          <w:p>
            <w:r/>
            <w:r>
              <w:rPr>
                <w:rFonts w:ascii="Arial" w:hAnsi="Arial"/>
                <w:sz w:val="20"/>
              </w:rPr>
              <w:t>Rate Limiting</w:t>
            </w:r>
          </w:p>
        </w:tc>
        <w:tc>
          <w:tcPr>
            <w:tcW w:type="dxa" w:w="7200"/>
          </w:tcPr>
          <w:p>
            <w:r/>
            <w:r>
              <w:rPr>
                <w:rFonts w:ascii="Arial" w:hAnsi="Arial"/>
                <w:sz w:val="20"/>
              </w:rPr>
              <w:t>Review rate limits — 5/min for login and 100/min for API may need adjustment under load.</w:t>
            </w:r>
          </w:p>
        </w:tc>
      </w:tr>
      <w:tr>
        <w:tc>
          <w:tcPr>
            <w:tcW w:type="dxa" w:w="2160"/>
          </w:tcPr>
          <w:p>
            <w:r/>
            <w:r>
              <w:rPr>
                <w:rFonts w:ascii="Arial" w:hAnsi="Arial"/>
                <w:sz w:val="20"/>
              </w:rPr>
              <w:t>Input Validation</w:t>
            </w:r>
          </w:p>
        </w:tc>
        <w:tc>
          <w:tcPr>
            <w:tcW w:type="dxa" w:w="7200"/>
          </w:tcPr>
          <w:p>
            <w:r/>
            <w:r>
              <w:rPr>
                <w:rFonts w:ascii="Arial" w:hAnsi="Arial"/>
                <w:sz w:val="20"/>
              </w:rPr>
              <w:t>Audit all Pydantic request models for proper validation constraints (min/max length, regex patterns).</w:t>
            </w:r>
          </w:p>
        </w:tc>
      </w:tr>
      <w:tr>
        <w:tc>
          <w:tcPr>
            <w:tcW w:type="dxa" w:w="2160"/>
          </w:tcPr>
          <w:p>
            <w:r/>
            <w:r>
              <w:rPr>
                <w:rFonts w:ascii="Arial" w:hAnsi="Arial"/>
                <w:sz w:val="20"/>
              </w:rPr>
              <w:t>HTTPS Redirect</w:t>
            </w:r>
          </w:p>
        </w:tc>
        <w:tc>
          <w:tcPr>
            <w:tcW w:type="dxa" w:w="7200"/>
          </w:tcPr>
          <w:p>
            <w:r/>
            <w:r>
              <w:rPr>
                <w:rFonts w:ascii="Arial" w:hAnsi="Arial"/>
                <w:sz w:val="20"/>
              </w:rPr>
              <w:t>Ensure Nginx redirects all HTTP traffic to HTTPS.</w:t>
            </w:r>
          </w:p>
        </w:tc>
      </w:tr>
      <w:tr>
        <w:tc>
          <w:tcPr>
            <w:tcW w:type="dxa" w:w="2160"/>
          </w:tcPr>
          <w:p>
            <w:r/>
            <w:r>
              <w:rPr>
                <w:rFonts w:ascii="Arial" w:hAnsi="Arial"/>
                <w:sz w:val="20"/>
              </w:rPr>
              <w:t>Health Monitoring</w:t>
            </w:r>
          </w:p>
        </w:tc>
        <w:tc>
          <w:tcPr>
            <w:tcW w:type="dxa" w:w="7200"/>
          </w:tcPr>
          <w:p>
            <w:r/>
            <w:r>
              <w:rPr>
                <w:rFonts w:ascii="Arial" w:hAnsi="Arial"/>
                <w:sz w:val="20"/>
              </w:rPr>
              <w:t>Set up uptime monitoring on /health endpoint with alerts.</w:t>
            </w:r>
          </w:p>
        </w:tc>
      </w:tr>
    </w:tbl>
    <w:p/>
    <w:p>
      <w:r>
        <w:br w:type="page"/>
      </w:r>
    </w:p>
    <w:p>
      <w:pPr>
        <w:pStyle w:val="Heading1"/>
      </w:pPr>
      <w:r>
        <w:t>17. Pricing &amp; Subscription Tiers</w:t>
      </w:r>
    </w:p>
    <w:p>
      <w:pPr>
        <w:pStyle w:val="Heading2"/>
      </w:pPr>
      <w:r>
        <w:t>17.1 Current Pricing</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a1a2e" w:color="auto" w:val="clear"/>
          </w:tcPr>
          <w:p>
            <w:r/>
            <w:r>
              <w:rPr>
                <w:rFonts w:ascii="Arial" w:hAnsi="Arial"/>
                <w:b/>
                <w:color w:val="FFFFFF"/>
                <w:sz w:val="20"/>
              </w:rPr>
              <w:t>Feature</w:t>
            </w:r>
          </w:p>
        </w:tc>
        <w:tc>
          <w:tcPr>
            <w:tcW w:type="dxa" w:w="2592"/>
            <w:shd w:fill="1a1a2e" w:color="auto" w:val="clear"/>
          </w:tcPr>
          <w:p>
            <w:r/>
            <w:r>
              <w:rPr>
                <w:rFonts w:ascii="Arial" w:hAnsi="Arial"/>
                <w:b/>
                <w:color w:val="FFFFFF"/>
                <w:sz w:val="20"/>
              </w:rPr>
              <w:t>Essentials</w:t>
            </w:r>
          </w:p>
        </w:tc>
        <w:tc>
          <w:tcPr>
            <w:tcW w:type="dxa" w:w="3168"/>
            <w:shd w:fill="1a1a2e" w:color="auto" w:val="clear"/>
          </w:tcPr>
          <w:p>
            <w:r/>
            <w:r>
              <w:rPr>
                <w:rFonts w:ascii="Arial" w:hAnsi="Arial"/>
                <w:b/>
                <w:color w:val="FFFFFF"/>
                <w:sz w:val="20"/>
              </w:rPr>
              <w:t>Professional</w:t>
            </w:r>
          </w:p>
        </w:tc>
      </w:tr>
      <w:tr>
        <w:tc>
          <w:tcPr>
            <w:tcW w:type="dxa" w:w="3600"/>
          </w:tcPr>
          <w:p>
            <w:r/>
            <w:r>
              <w:rPr>
                <w:rFonts w:ascii="Arial" w:hAnsi="Arial"/>
                <w:sz w:val="20"/>
              </w:rPr>
            </w:r>
          </w:p>
        </w:tc>
        <w:tc>
          <w:tcPr>
            <w:tcW w:type="dxa" w:w="2592"/>
          </w:tcPr>
          <w:p>
            <w:r/>
            <w:r>
              <w:rPr>
                <w:rFonts w:ascii="Arial" w:hAnsi="Arial"/>
                <w:sz w:val="20"/>
              </w:rPr>
              <w:t>Essentials</w:t>
            </w:r>
          </w:p>
        </w:tc>
        <w:tc>
          <w:tcPr>
            <w:tcW w:type="dxa" w:w="3168"/>
          </w:tcPr>
          <w:p>
            <w:r/>
            <w:r>
              <w:rPr>
                <w:rFonts w:ascii="Arial" w:hAnsi="Arial"/>
                <w:sz w:val="20"/>
              </w:rPr>
              <w:t>Professional</w:t>
            </w:r>
          </w:p>
        </w:tc>
      </w:tr>
      <w:tr>
        <w:tc>
          <w:tcPr>
            <w:tcW w:type="dxa" w:w="3600"/>
          </w:tcPr>
          <w:p>
            <w:r/>
            <w:r>
              <w:rPr>
                <w:rFonts w:ascii="Arial" w:hAnsi="Arial"/>
                <w:sz w:val="20"/>
              </w:rPr>
              <w:t>Monthly</w:t>
            </w:r>
          </w:p>
        </w:tc>
        <w:tc>
          <w:tcPr>
            <w:tcW w:type="dxa" w:w="2592"/>
          </w:tcPr>
          <w:p>
            <w:r/>
            <w:r>
              <w:rPr>
                <w:rFonts w:ascii="Arial" w:hAnsi="Arial"/>
                <w:sz w:val="20"/>
              </w:rPr>
              <w:t>£299/mo</w:t>
            </w:r>
          </w:p>
        </w:tc>
        <w:tc>
          <w:tcPr>
            <w:tcW w:type="dxa" w:w="3168"/>
          </w:tcPr>
          <w:p>
            <w:r/>
            <w:r>
              <w:rPr>
                <w:rFonts w:ascii="Arial" w:hAnsi="Arial"/>
                <w:sz w:val="20"/>
              </w:rPr>
              <w:t>£599/mo</w:t>
            </w:r>
          </w:p>
        </w:tc>
      </w:tr>
      <w:tr>
        <w:tc>
          <w:tcPr>
            <w:tcW w:type="dxa" w:w="3600"/>
          </w:tcPr>
          <w:p>
            <w:r/>
            <w:r>
              <w:rPr>
                <w:rFonts w:ascii="Arial" w:hAnsi="Arial"/>
                <w:sz w:val="20"/>
              </w:rPr>
              <w:t>Annual</w:t>
            </w:r>
          </w:p>
        </w:tc>
        <w:tc>
          <w:tcPr>
            <w:tcW w:type="dxa" w:w="2592"/>
          </w:tcPr>
          <w:p>
            <w:r/>
            <w:r>
              <w:rPr>
                <w:rFonts w:ascii="Arial" w:hAnsi="Arial"/>
                <w:sz w:val="20"/>
              </w:rPr>
              <w:t>£299/mo billed annually</w:t>
            </w:r>
          </w:p>
        </w:tc>
        <w:tc>
          <w:tcPr>
            <w:tcW w:type="dxa" w:w="3168"/>
          </w:tcPr>
          <w:p>
            <w:r/>
            <w:r>
              <w:rPr>
                <w:rFonts w:ascii="Arial" w:hAnsi="Arial"/>
                <w:sz w:val="20"/>
              </w:rPr>
              <w:t>£599/mo billed annually</w:t>
            </w:r>
          </w:p>
        </w:tc>
      </w:tr>
      <w:tr>
        <w:tc>
          <w:tcPr>
            <w:tcW w:type="dxa" w:w="3600"/>
          </w:tcPr>
          <w:p>
            <w:r/>
            <w:r>
              <w:rPr>
                <w:rFonts w:ascii="Arial" w:hAnsi="Arial"/>
                <w:sz w:val="20"/>
              </w:rPr>
              <w:t>Dashboard &amp; Briefing</w:t>
            </w:r>
          </w:p>
        </w:tc>
        <w:tc>
          <w:tcPr>
            <w:tcW w:type="dxa" w:w="2592"/>
          </w:tcPr>
          <w:p>
            <w:r/>
            <w:r>
              <w:rPr>
                <w:rFonts w:ascii="Arial" w:hAnsi="Arial"/>
                <w:sz w:val="20"/>
              </w:rPr>
              <w:t>✓</w:t>
            </w:r>
          </w:p>
        </w:tc>
        <w:tc>
          <w:tcPr>
            <w:tcW w:type="dxa" w:w="3168"/>
          </w:tcPr>
          <w:p>
            <w:r/>
            <w:r>
              <w:rPr>
                <w:rFonts w:ascii="Arial" w:hAnsi="Arial"/>
                <w:sz w:val="20"/>
              </w:rPr>
              <w:t>✓</w:t>
            </w:r>
          </w:p>
        </w:tc>
      </w:tr>
      <w:tr>
        <w:tc>
          <w:tcPr>
            <w:tcW w:type="dxa" w:w="3600"/>
          </w:tcPr>
          <w:p>
            <w:r/>
            <w:r>
              <w:rPr>
                <w:rFonts w:ascii="Arial" w:hAnsi="Arial"/>
                <w:sz w:val="20"/>
              </w:rPr>
              <w:t>Staff Management</w:t>
            </w:r>
          </w:p>
        </w:tc>
        <w:tc>
          <w:tcPr>
            <w:tcW w:type="dxa" w:w="2592"/>
          </w:tcPr>
          <w:p>
            <w:r/>
            <w:r>
              <w:rPr>
                <w:rFonts w:ascii="Arial" w:hAnsi="Arial"/>
                <w:sz w:val="20"/>
              </w:rPr>
              <w:t>✓</w:t>
            </w:r>
          </w:p>
        </w:tc>
        <w:tc>
          <w:tcPr>
            <w:tcW w:type="dxa" w:w="3168"/>
          </w:tcPr>
          <w:p>
            <w:r/>
            <w:r>
              <w:rPr>
                <w:rFonts w:ascii="Arial" w:hAnsi="Arial"/>
                <w:sz w:val="20"/>
              </w:rPr>
              <w:t>✓</w:t>
            </w:r>
          </w:p>
        </w:tc>
      </w:tr>
      <w:tr>
        <w:tc>
          <w:tcPr>
            <w:tcW w:type="dxa" w:w="3600"/>
          </w:tcPr>
          <w:p>
            <w:r/>
            <w:r>
              <w:rPr>
                <w:rFonts w:ascii="Arial" w:hAnsi="Arial"/>
                <w:sz w:val="20"/>
              </w:rPr>
              <w:t>Client Intake &amp; CDD</w:t>
            </w:r>
          </w:p>
        </w:tc>
        <w:tc>
          <w:tcPr>
            <w:tcW w:type="dxa" w:w="2592"/>
          </w:tcPr>
          <w:p>
            <w:r/>
            <w:r>
              <w:rPr>
                <w:rFonts w:ascii="Arial" w:hAnsi="Arial"/>
                <w:sz w:val="20"/>
              </w:rPr>
              <w:t>✓</w:t>
            </w:r>
          </w:p>
        </w:tc>
        <w:tc>
          <w:tcPr>
            <w:tcW w:type="dxa" w:w="3168"/>
          </w:tcPr>
          <w:p>
            <w:r/>
            <w:r>
              <w:rPr>
                <w:rFonts w:ascii="Arial" w:hAnsi="Arial"/>
                <w:sz w:val="20"/>
              </w:rPr>
              <w:t>✓</w:t>
            </w:r>
          </w:p>
        </w:tc>
      </w:tr>
      <w:tr>
        <w:tc>
          <w:tcPr>
            <w:tcW w:type="dxa" w:w="3600"/>
          </w:tcPr>
          <w:p>
            <w:r/>
            <w:r>
              <w:rPr>
                <w:rFonts w:ascii="Arial" w:hAnsi="Arial"/>
                <w:sz w:val="20"/>
              </w:rPr>
              <w:t>Compliance Alerts</w:t>
            </w:r>
          </w:p>
        </w:tc>
        <w:tc>
          <w:tcPr>
            <w:tcW w:type="dxa" w:w="2592"/>
          </w:tcPr>
          <w:p>
            <w:r/>
            <w:r>
              <w:rPr>
                <w:rFonts w:ascii="Arial" w:hAnsi="Arial"/>
                <w:sz w:val="20"/>
              </w:rPr>
              <w:t>✓</w:t>
            </w:r>
          </w:p>
        </w:tc>
        <w:tc>
          <w:tcPr>
            <w:tcW w:type="dxa" w:w="3168"/>
          </w:tcPr>
          <w:p>
            <w:r/>
            <w:r>
              <w:rPr>
                <w:rFonts w:ascii="Arial" w:hAnsi="Arial"/>
                <w:sz w:val="20"/>
              </w:rPr>
              <w:t>✓</w:t>
            </w:r>
          </w:p>
        </w:tc>
      </w:tr>
      <w:tr>
        <w:tc>
          <w:tcPr>
            <w:tcW w:type="dxa" w:w="3600"/>
          </w:tcPr>
          <w:p>
            <w:r/>
            <w:r>
              <w:rPr>
                <w:rFonts w:ascii="Arial" w:hAnsi="Arial"/>
                <w:sz w:val="20"/>
              </w:rPr>
              <w:t>Breach Management</w:t>
            </w:r>
          </w:p>
        </w:tc>
        <w:tc>
          <w:tcPr>
            <w:tcW w:type="dxa" w:w="2592"/>
          </w:tcPr>
          <w:p>
            <w:r/>
            <w:r>
              <w:rPr>
                <w:rFonts w:ascii="Arial" w:hAnsi="Arial"/>
                <w:sz w:val="20"/>
              </w:rPr>
              <w:t>✓</w:t>
            </w:r>
          </w:p>
        </w:tc>
        <w:tc>
          <w:tcPr>
            <w:tcW w:type="dxa" w:w="3168"/>
          </w:tcPr>
          <w:p>
            <w:r/>
            <w:r>
              <w:rPr>
                <w:rFonts w:ascii="Arial" w:hAnsi="Arial"/>
                <w:sz w:val="20"/>
              </w:rPr>
              <w:t>✓</w:t>
            </w:r>
          </w:p>
        </w:tc>
      </w:tr>
      <w:tr>
        <w:tc>
          <w:tcPr>
            <w:tcW w:type="dxa" w:w="3600"/>
          </w:tcPr>
          <w:p>
            <w:r/>
            <w:r>
              <w:rPr>
                <w:rFonts w:ascii="Arial" w:hAnsi="Arial"/>
                <w:sz w:val="20"/>
              </w:rPr>
              <w:t>Chase Engine</w:t>
            </w:r>
          </w:p>
        </w:tc>
        <w:tc>
          <w:tcPr>
            <w:tcW w:type="dxa" w:w="2592"/>
          </w:tcPr>
          <w:p>
            <w:r/>
            <w:r>
              <w:rPr>
                <w:rFonts w:ascii="Arial" w:hAnsi="Arial"/>
                <w:sz w:val="20"/>
              </w:rPr>
              <w:t>✓</w:t>
            </w:r>
          </w:p>
        </w:tc>
        <w:tc>
          <w:tcPr>
            <w:tcW w:type="dxa" w:w="3168"/>
          </w:tcPr>
          <w:p>
            <w:r/>
            <w:r>
              <w:rPr>
                <w:rFonts w:ascii="Arial" w:hAnsi="Arial"/>
                <w:sz w:val="20"/>
              </w:rPr>
              <w:t>✓</w:t>
            </w:r>
          </w:p>
        </w:tc>
      </w:tr>
      <w:tr>
        <w:tc>
          <w:tcPr>
            <w:tcW w:type="dxa" w:w="3600"/>
          </w:tcPr>
          <w:p>
            <w:r/>
            <w:r>
              <w:rPr>
                <w:rFonts w:ascii="Arial" w:hAnsi="Arial"/>
                <w:sz w:val="20"/>
              </w:rPr>
              <w:t>Policy Management</w:t>
            </w:r>
          </w:p>
        </w:tc>
        <w:tc>
          <w:tcPr>
            <w:tcW w:type="dxa" w:w="2592"/>
          </w:tcPr>
          <w:p>
            <w:r/>
            <w:r>
              <w:rPr>
                <w:rFonts w:ascii="Arial" w:hAnsi="Arial"/>
                <w:sz w:val="20"/>
              </w:rPr>
              <w:t>✓</w:t>
            </w:r>
          </w:p>
        </w:tc>
        <w:tc>
          <w:tcPr>
            <w:tcW w:type="dxa" w:w="3168"/>
          </w:tcPr>
          <w:p>
            <w:r/>
            <w:r>
              <w:rPr>
                <w:rFonts w:ascii="Arial" w:hAnsi="Arial"/>
                <w:sz w:val="20"/>
              </w:rPr>
              <w:t>✓</w:t>
            </w:r>
          </w:p>
        </w:tc>
      </w:tr>
      <w:tr>
        <w:tc>
          <w:tcPr>
            <w:tcW w:type="dxa" w:w="3600"/>
          </w:tcPr>
          <w:p>
            <w:r/>
            <w:r>
              <w:rPr>
                <w:rFonts w:ascii="Arial" w:hAnsi="Arial"/>
                <w:sz w:val="20"/>
              </w:rPr>
              <w:t>Evidence Locker</w:t>
            </w:r>
          </w:p>
        </w:tc>
        <w:tc>
          <w:tcPr>
            <w:tcW w:type="dxa" w:w="2592"/>
          </w:tcPr>
          <w:p>
            <w:r/>
            <w:r>
              <w:rPr>
                <w:rFonts w:ascii="Arial" w:hAnsi="Arial"/>
                <w:sz w:val="20"/>
              </w:rPr>
              <w:t>✓</w:t>
            </w:r>
          </w:p>
        </w:tc>
        <w:tc>
          <w:tcPr>
            <w:tcW w:type="dxa" w:w="3168"/>
          </w:tcPr>
          <w:p>
            <w:r/>
            <w:r>
              <w:rPr>
                <w:rFonts w:ascii="Arial" w:hAnsi="Arial"/>
                <w:sz w:val="20"/>
              </w:rPr>
              <w:t>✓</w:t>
            </w:r>
          </w:p>
        </w:tc>
      </w:tr>
      <w:tr>
        <w:tc>
          <w:tcPr>
            <w:tcW w:type="dxa" w:w="3600"/>
          </w:tcPr>
          <w:p>
            <w:r/>
            <w:r>
              <w:rPr>
                <w:rFonts w:ascii="Arial" w:hAnsi="Arial"/>
                <w:sz w:val="20"/>
              </w:rPr>
              <w:t>Audit Trail</w:t>
            </w:r>
          </w:p>
        </w:tc>
        <w:tc>
          <w:tcPr>
            <w:tcW w:type="dxa" w:w="2592"/>
          </w:tcPr>
          <w:p>
            <w:r/>
            <w:r>
              <w:rPr>
                <w:rFonts w:ascii="Arial" w:hAnsi="Arial"/>
                <w:sz w:val="20"/>
              </w:rPr>
              <w:t>✓</w:t>
            </w:r>
          </w:p>
        </w:tc>
        <w:tc>
          <w:tcPr>
            <w:tcW w:type="dxa" w:w="3168"/>
          </w:tcPr>
          <w:p>
            <w:r/>
            <w:r>
              <w:rPr>
                <w:rFonts w:ascii="Arial" w:hAnsi="Arial"/>
                <w:sz w:val="20"/>
              </w:rPr>
              <w:t>✓</w:t>
            </w:r>
          </w:p>
        </w:tc>
      </w:tr>
      <w:tr>
        <w:tc>
          <w:tcPr>
            <w:tcW w:type="dxa" w:w="3600"/>
          </w:tcPr>
          <w:p>
            <w:r/>
            <w:r>
              <w:rPr>
                <w:rFonts w:ascii="Arial" w:hAnsi="Arial"/>
                <w:sz w:val="20"/>
              </w:rPr>
              <w:t>AI Regulatory Analysis</w:t>
            </w:r>
          </w:p>
        </w:tc>
        <w:tc>
          <w:tcPr>
            <w:tcW w:type="dxa" w:w="2592"/>
          </w:tcPr>
          <w:p>
            <w:r/>
            <w:r>
              <w:rPr>
                <w:rFonts w:ascii="Arial" w:hAnsi="Arial"/>
                <w:sz w:val="20"/>
              </w:rPr>
              <w:t>✗</w:t>
            </w:r>
          </w:p>
        </w:tc>
        <w:tc>
          <w:tcPr>
            <w:tcW w:type="dxa" w:w="3168"/>
          </w:tcPr>
          <w:p>
            <w:r/>
            <w:r>
              <w:rPr>
                <w:rFonts w:ascii="Arial" w:hAnsi="Arial"/>
                <w:sz w:val="20"/>
              </w:rPr>
              <w:t>✓</w:t>
            </w:r>
          </w:p>
        </w:tc>
      </w:tr>
      <w:tr>
        <w:tc>
          <w:tcPr>
            <w:tcW w:type="dxa" w:w="3600"/>
          </w:tcPr>
          <w:p>
            <w:r/>
            <w:r>
              <w:rPr>
                <w:rFonts w:ascii="Arial" w:hAnsi="Arial"/>
                <w:sz w:val="20"/>
              </w:rPr>
              <w:t>SRA Return Generator</w:t>
            </w:r>
          </w:p>
        </w:tc>
        <w:tc>
          <w:tcPr>
            <w:tcW w:type="dxa" w:w="2592"/>
          </w:tcPr>
          <w:p>
            <w:r/>
            <w:r>
              <w:rPr>
                <w:rFonts w:ascii="Arial" w:hAnsi="Arial"/>
                <w:sz w:val="20"/>
              </w:rPr>
              <w:t>✗</w:t>
            </w:r>
          </w:p>
        </w:tc>
        <w:tc>
          <w:tcPr>
            <w:tcW w:type="dxa" w:w="3168"/>
          </w:tcPr>
          <w:p>
            <w:r/>
            <w:r>
              <w:rPr>
                <w:rFonts w:ascii="Arial" w:hAnsi="Arial"/>
                <w:sz w:val="20"/>
              </w:rPr>
              <w:t>✓</w:t>
            </w:r>
          </w:p>
        </w:tc>
      </w:tr>
      <w:tr>
        <w:tc>
          <w:tcPr>
            <w:tcW w:type="dxa" w:w="3600"/>
          </w:tcPr>
          <w:p>
            <w:r/>
            <w:r>
              <w:rPr>
                <w:rFonts w:ascii="Arial" w:hAnsi="Arial"/>
                <w:sz w:val="20"/>
              </w:rPr>
              <w:t>Advanced Reporting</w:t>
            </w:r>
          </w:p>
        </w:tc>
        <w:tc>
          <w:tcPr>
            <w:tcW w:type="dxa" w:w="2592"/>
          </w:tcPr>
          <w:p>
            <w:r/>
            <w:r>
              <w:rPr>
                <w:rFonts w:ascii="Arial" w:hAnsi="Arial"/>
                <w:sz w:val="20"/>
              </w:rPr>
              <w:t>✗</w:t>
            </w:r>
          </w:p>
        </w:tc>
        <w:tc>
          <w:tcPr>
            <w:tcW w:type="dxa" w:w="3168"/>
          </w:tcPr>
          <w:p>
            <w:r/>
            <w:r>
              <w:rPr>
                <w:rFonts w:ascii="Arial" w:hAnsi="Arial"/>
                <w:sz w:val="20"/>
              </w:rPr>
              <w:t>✓</w:t>
            </w:r>
          </w:p>
        </w:tc>
      </w:tr>
      <w:tr>
        <w:tc>
          <w:tcPr>
            <w:tcW w:type="dxa" w:w="3600"/>
          </w:tcPr>
          <w:p>
            <w:r/>
            <w:r>
              <w:rPr>
                <w:rFonts w:ascii="Arial" w:hAnsi="Arial"/>
                <w:sz w:val="20"/>
              </w:rPr>
              <w:t>Priority Support</w:t>
            </w:r>
          </w:p>
        </w:tc>
        <w:tc>
          <w:tcPr>
            <w:tcW w:type="dxa" w:w="2592"/>
          </w:tcPr>
          <w:p>
            <w:r/>
            <w:r>
              <w:rPr>
                <w:rFonts w:ascii="Arial" w:hAnsi="Arial"/>
                <w:sz w:val="20"/>
              </w:rPr>
              <w:t>✗</w:t>
            </w:r>
          </w:p>
        </w:tc>
        <w:tc>
          <w:tcPr>
            <w:tcW w:type="dxa" w:w="3168"/>
          </w:tcPr>
          <w:p>
            <w:r/>
            <w:r>
              <w:rPr>
                <w:rFonts w:ascii="Arial" w:hAnsi="Arial"/>
                <w:sz w:val="20"/>
              </w:rPr>
              <w:t>✓</w:t>
            </w:r>
          </w:p>
        </w:tc>
      </w:tr>
    </w:tbl>
    <w:p/>
    <w:p>
      <w:pPr>
        <w:pStyle w:val="Heading2"/>
      </w:pPr>
      <w:r>
        <w:t>17.2 Pricing Strategy</w:t>
      </w:r>
    </w:p>
    <w:p>
      <w:r>
        <w:t>Current pricing is an introductory rate for early adopters. Once 5-10 firms are onboarded and case studies are established, pricing will increase to £499/mo (Essentials) and £799-899/mo (Professional) for new customers. Early customers retain their introductory rate.</w:t>
      </w:r>
    </w:p>
    <w:p>
      <w:r>
        <w:br w:type="page"/>
      </w:r>
    </w:p>
    <w:p>
      <w:pPr>
        <w:pStyle w:val="Heading1"/>
      </w:pPr>
      <w:r>
        <w:t>18. Future Roadmap</w:t>
      </w:r>
    </w:p>
    <w:p>
      <w:pPr>
        <w:pStyle w:val="Heading2"/>
      </w:pPr>
      <w:r>
        <w:t>Phase 2 (Post-Launch)</w:t>
      </w:r>
    </w:p>
    <w:p>
      <w:pPr>
        <w:pStyle w:val="ListBullet"/>
      </w:pPr>
      <w:r>
        <w:t>Mobile-responsive design optimisation</w:t>
      </w:r>
    </w:p>
    <w:p>
      <w:pPr>
        <w:pStyle w:val="ListBullet"/>
      </w:pPr>
      <w:r>
        <w:t>Two-factor authentication (TOTP)</w:t>
      </w:r>
    </w:p>
    <w:p>
      <w:pPr>
        <w:pStyle w:val="ListBullet"/>
      </w:pPr>
      <w:r>
        <w:t>Client portal — let firm clients upload ID documents directly</w:t>
      </w:r>
    </w:p>
    <w:p>
      <w:pPr>
        <w:pStyle w:val="ListBullet"/>
      </w:pPr>
      <w:r>
        <w:t>Microsoft 365 / Google Workspace integration for document syncing</w:t>
      </w:r>
    </w:p>
    <w:p>
      <w:pPr>
        <w:pStyle w:val="ListBullet"/>
      </w:pPr>
      <w:r>
        <w:t>Automated compliance scoring model (ML-based risk prediction)</w:t>
      </w:r>
    </w:p>
    <w:p>
      <w:pPr>
        <w:pStyle w:val="ListBullet"/>
      </w:pPr>
      <w:r>
        <w:t>Multi-firm group management (for legal networks)</w:t>
      </w:r>
    </w:p>
    <w:p>
      <w:pPr>
        <w:pStyle w:val="ListBullet"/>
      </w:pPr>
      <w:r>
        <w:t>API access for firms to integrate with their practice management systems</w:t>
      </w:r>
    </w:p>
    <w:p>
      <w:pPr>
        <w:pStyle w:val="ListBullet"/>
      </w:pPr>
      <w:r>
        <w:t>White-labelling options for larger firms</w:t>
      </w:r>
    </w:p>
    <w:p>
      <w:pPr>
        <w:pStyle w:val="Heading2"/>
      </w:pPr>
      <w:r>
        <w:t>Phase 3 (Growth)</w:t>
      </w:r>
    </w:p>
    <w:p>
      <w:pPr>
        <w:pStyle w:val="ListBullet"/>
      </w:pPr>
      <w:r>
        <w:t>Case management integration (Clio, Leap, Osprey)</w:t>
      </w:r>
    </w:p>
    <w:p>
      <w:pPr>
        <w:pStyle w:val="ListBullet"/>
      </w:pPr>
      <w:r>
        <w:t>Automated SRA return submission (direct SRA API when available)</w:t>
      </w:r>
    </w:p>
    <w:p>
      <w:pPr>
        <w:pStyle w:val="ListBullet"/>
      </w:pPr>
      <w:r>
        <w:t>Benchmarking — anonymised compliance performance comparison across firms</w:t>
      </w:r>
    </w:p>
    <w:p>
      <w:pPr>
        <w:pStyle w:val="ListBullet"/>
      </w:pPr>
      <w:r>
        <w:t>Training content marketplace — built-in CPD modules</w:t>
      </w:r>
    </w:p>
    <w:p>
      <w:pPr>
        <w:pStyle w:val="ListBullet"/>
      </w:pPr>
      <w:r>
        <w:t>AI-powered policy drafting and review</w:t>
      </w:r>
    </w:p>
    <w:p>
      <w:r>
        <w:br w:type="page"/>
      </w:r>
    </w:p>
    <w:p/>
    <w:p/>
    <w:p/>
    <w:p>
      <w:pPr>
        <w:spacing w:after="240"/>
        <w:jc w:val="center"/>
      </w:pPr>
      <w:r>
        <w:rPr>
          <w:b/>
          <w:color w:val="1A1A2E"/>
          <w:sz w:val="32"/>
        </w:rPr>
        <w:t>End of Document</w:t>
      </w:r>
    </w:p>
    <w:p>
      <w:pPr>
        <w:spacing w:after="120"/>
        <w:jc w:val="center"/>
      </w:pPr>
      <w:r>
        <w:rPr>
          <w:b w:val="0"/>
          <w:color w:val="666666"/>
          <w:sz w:val="22"/>
        </w:rPr>
        <w:t>This PRD is a living document and should be updated as the product evolves. For questions, contact the product owner.</w:t>
      </w:r>
    </w:p>
    <w:p>
      <w:pPr>
        <w:spacing w:after="120"/>
        <w:jc w:val="center"/>
      </w:pPr>
      <w:r>
        <w:rPr>
          <w:b w:val="0"/>
          <w:color w:val="666666"/>
          <w:sz w:val="22"/>
        </w:rPr>
        <w:t>Last updated: 25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563EB"/>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