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Seema — Production Gaps &amp; Integration Roadmap</w:t>
      </w:r>
    </w:p>
    <w:p>
      <w:pPr>
        <w:jc w:val="center"/>
      </w:pPr>
      <w:r>
        <w:rPr>
          <w:color w:val="6B7280"/>
          <w:sz w:val="20"/>
        </w:rPr>
        <w:t>Generated 26 April 2026 — Internal Development Reference</w:t>
      </w:r>
    </w:p>
    <w:p/>
    <w:p>
      <w:pPr>
        <w:jc w:val="left"/>
      </w:pPr>
      <w:r>
        <w:rPr>
          <w:b/>
          <w:sz w:val="22"/>
        </w:rPr>
        <w:t xml:space="preserve">AUDIT SUMMARY: </w:t>
      </w:r>
      <w:r>
        <w:rPr>
          <w:sz w:val="22"/>
        </w:rPr>
        <w:t>Full codebase audit of 24 routers and 5 services confirms 95% of endpoints have real business logic — database operations, validation, cascading record creation, and regulatory enforcement. Three gaps remain, all relating to external API integrations that need third-party providers. This document details each gap, what it affects, and how to close it.</w:t>
      </w:r>
    </w:p>
    <w:p/>
    <w:p>
      <w:pPr>
        <w:pStyle w:val="Heading1"/>
      </w:pPr>
      <w:r>
        <w:rPr>
          <w:color w:val="DC2626"/>
        </w:rPr>
        <w:t>Gap 1: PEP Screening &amp; Sanctions Check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Priority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CRITICAL — Required by MLR 2017 Reg 33-35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Current State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Records created as "clear" by default. COLP updates manually.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Affected Endpoints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POST /compliance/aml/pep-screening</w:t>
              <w:br/>
              <w:t>POST /compliance/aml/sanctions-check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Affected Files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routers/aml.py (lines 352-380)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Downstream Impact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CDD verification, risk scoring, compliance alerts, dashboard stats</w:t>
            </w:r>
          </w:p>
        </w:tc>
      </w:tr>
    </w:tbl>
    <w:p/>
    <w:p>
      <w:pPr>
        <w:pStyle w:val="Heading2"/>
      </w:pPr>
      <w:r>
        <w:rPr>
          <w:color w:val="1A1A2E"/>
        </w:rPr>
        <w:t>What needs to happen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Choose a screening provider: </w:t>
      </w:r>
      <w:r>
        <w:rPr>
          <w:rFonts w:ascii="Arial" w:hAnsi="Arial"/>
          <w:sz w:val="20"/>
        </w:rPr>
        <w:t>Credas, SmartSearch, Thirdfort, or ComplyAdvantage. All offer REST APIs with PEP/sanctions/adverse media screening. Typical cost: £0.50-2.00 per check.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Build an adapter service: </w:t>
      </w:r>
      <w:r>
        <w:rPr>
          <w:rFonts w:ascii="Arial" w:hAnsi="Arial"/>
          <w:sz w:val="20"/>
        </w:rPr>
        <w:t>Create services/screening_provider.py that wraps the chosen API. Interface: screen_person(name, dob, nationality) returns {is_pep, is_sanctioned, match_details, lists_checked, confidence_score}.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Wire into existing endpoints: </w:t>
      </w:r>
      <w:r>
        <w:rPr>
          <w:rFonts w:ascii="Arial" w:hAnsi="Arial"/>
          <w:sz w:val="20"/>
        </w:rPr>
        <w:t>Replace the placeholder logic in POST /compliance/aml/pep-screening and POST /compliance/aml/sanctions-check to call the adapter. The cascade logic already exists — if is_pep=true, the endpoint already sets EDD required and creates a critical alert.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Add webhook handler: </w:t>
      </w:r>
      <w:r>
        <w:rPr>
          <w:rFonts w:ascii="Arial" w:hAnsi="Arial"/>
          <w:sz w:val="20"/>
        </w:rPr>
        <w:t>Most providers support ongoing monitoring via webhooks. Create POST /webhooks/screening-provider to receive alerts when a previously-cleared person appears on a new list.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Store API credentials per firm: </w:t>
      </w:r>
      <w:r>
        <w:rPr>
          <w:rFonts w:ascii="Arial" w:hAnsi="Arial"/>
          <w:sz w:val="20"/>
        </w:rPr>
        <w:t>Add screening_api_key and screening_provider columns to EmailSettings or create a new FirmIntegrations model. Each firm may use a different provider.</w:t>
      </w:r>
    </w:p>
    <w:p/>
    <w:p>
      <w:pPr>
        <w:pStyle w:val="Heading1"/>
      </w:pPr>
      <w:r>
        <w:rPr>
          <w:color w:val="D97706"/>
        </w:rPr>
        <w:t>Gap 2: Regulatory Feed Scraper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Priority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HIGH — COLPs need real-time regulatory awareness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Current State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Endpoint returns current feed status but does not scrape external sources.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Affected Endpoints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POST /compliance/regulatory-updates (refresh)</w:t>
              <w:br/>
              <w:t>GET /compliance/regulatory-updates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Affected Files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routers/regulatory.py (lines 100-132)</w:t>
              <w:br/>
              <w:t>tasks/email_tasks.py (Celery task)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Downstream Impact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Dashboard regulatory alerts, policy update queue, compliance checks</w:t>
            </w:r>
          </w:p>
        </w:tc>
      </w:tr>
    </w:tbl>
    <w:p/>
    <w:p>
      <w:pPr>
        <w:pStyle w:val="Heading2"/>
      </w:pPr>
      <w:r>
        <w:rPr>
          <w:color w:val="1A1A2E"/>
        </w:rPr>
        <w:t>What needs to happen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Build a Celery scraping task: </w:t>
      </w:r>
      <w:r>
        <w:rPr>
          <w:rFonts w:ascii="Arial" w:hAnsi="Arial"/>
          <w:sz w:val="20"/>
        </w:rPr>
        <w:t>Create tasks/regulatory_scraper.py that runs daily. Targets: SRA website (sra.org.uk/solicitors/standards-regulations), ICO enforcement notices, FCA regulatory actions, Law Society Practice Notes.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Parse and deduplicate: </w:t>
      </w:r>
      <w:r>
        <w:rPr>
          <w:rFonts w:ascii="Arial" w:hAnsi="Arial"/>
          <w:sz w:val="20"/>
        </w:rPr>
        <w:t>Each scraped item gets hashed (title + source + date) to prevent duplicates. New items create RegulatoryUpdate records with impact_level auto-classified by keyword matching (e.g., "SRA fine" = critical, "guidance note" = medium).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Trigger impact analysis: </w:t>
      </w:r>
      <w:r>
        <w:rPr>
          <w:rFonts w:ascii="Arial" w:hAnsi="Arial"/>
          <w:sz w:val="20"/>
        </w:rPr>
        <w:t>When a new regulatory update is created, auto-create a RegulatoryImpactAnalysis record. The AI analysis service (services/ai_analysis.py) can assess which practice areas and policies are affected.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Wire to policy update queue: </w:t>
      </w:r>
      <w:r>
        <w:rPr>
          <w:rFonts w:ascii="Arial" w:hAnsi="Arial"/>
          <w:sz w:val="20"/>
        </w:rPr>
        <w:t>If a regulatory update affects an existing PolicyDocument (matched by regulation_ref), auto-create a PolicyUpdateQueue entry so the COLP knows which policies need revision.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Add RSS/Atom feed support: </w:t>
      </w:r>
      <w:r>
        <w:rPr>
          <w:rFonts w:ascii="Arial" w:hAnsi="Arial"/>
          <w:sz w:val="20"/>
        </w:rPr>
        <w:t>Some sources publish RSS feeds. Add a generic feed parser that works alongside the HTML scraper for sources that support it.</w:t>
      </w:r>
    </w:p>
    <w:p/>
    <w:p>
      <w:pPr>
        <w:pStyle w:val="Heading1"/>
      </w:pPr>
      <w:r>
        <w:rPr>
          <w:color w:val="2563EB"/>
        </w:rPr>
        <w:t>Gap 3: SRA Register API Lookup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Priority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MEDIUM — Improves onboarding UX, not a compliance blocker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Current State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Returns dummy data: "Firm {sra_number}" with status "active".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Affected Endpoints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GET /onboarding/sra-lookup/{sra_number}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Affected Files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routers/onboarding.py (lines 431-441)</w:t>
              <w:br/>
              <w:t>services/sra_lookup.py</w:t>
            </w:r>
          </w:p>
        </w:tc>
      </w:tr>
      <w:tr>
        <w:tc>
          <w:tcPr>
            <w:tcW w:type="dxa" w:w="4680"/>
            <w:shd w:fill="F3F4F6" w:val="clear"/>
          </w:tcPr>
          <w:p>
            <w:r/>
            <w:r>
              <w:rPr>
                <w:rFonts w:ascii="Arial" w:hAnsi="Arial"/>
                <w:b/>
                <w:sz w:val="20"/>
              </w:rPr>
              <w:t>Downstream Impact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Onboarding wizard auto-fill (firm name, address, phone, authorisation status)</w:t>
            </w:r>
          </w:p>
        </w:tc>
      </w:tr>
    </w:tbl>
    <w:p/>
    <w:p>
      <w:pPr>
        <w:pStyle w:val="Heading2"/>
      </w:pPr>
      <w:r>
        <w:rPr>
          <w:color w:val="1A1A2E"/>
        </w:rPr>
        <w:t>What needs to happen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Integrate with the SRA public register: </w:t>
      </w:r>
      <w:r>
        <w:rPr>
          <w:rFonts w:ascii="Arial" w:hAnsi="Arial"/>
          <w:sz w:val="20"/>
        </w:rPr>
        <w:t>The SRA maintains a searchable register at sra.org.uk/consumers/register. The data is available via their website — build a scraper or check if they offer a structured API (they have previously published data downloads).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Update the lookup service: </w:t>
      </w:r>
      <w:r>
        <w:rPr>
          <w:rFonts w:ascii="Arial" w:hAnsi="Arial"/>
          <w:sz w:val="20"/>
        </w:rPr>
        <w:t>In services/sra_lookup.py, replace the placeholder with a real HTTP call. Parse the response to extract: firm name, address, telephone, authorisation status, regulated individuals, and any conditions on the authorisation.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Cache results: </w:t>
      </w:r>
      <w:r>
        <w:rPr>
          <w:rFonts w:ascii="Arial" w:hAnsi="Arial"/>
          <w:sz w:val="20"/>
        </w:rPr>
        <w:t>SRA data changes infrequently. Cache lookup results in Redis (TTL: 24 hours) to avoid hammering their servers and to speed up repeat lookups during onboarding.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Validate SRA number format: </w:t>
      </w:r>
      <w:r>
        <w:rPr>
          <w:rFonts w:ascii="Arial" w:hAnsi="Arial"/>
          <w:sz w:val="20"/>
        </w:rPr>
        <w:t>SRA numbers follow a specific format (6-digit for firms, longer for individuals). Add format validation before making the API call.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Handle deauthorised firms: </w:t>
      </w:r>
      <w:r>
        <w:rPr>
          <w:rFonts w:ascii="Arial" w:hAnsi="Arial"/>
          <w:sz w:val="20"/>
        </w:rPr>
        <w:t>If the SRA lookup returns a firm that has been deauthorised or has conditions, show a warning in the onboarding wizard. The COLP should know before proceeding.</w:t>
      </w:r>
    </w:p>
    <w:p/>
    <w:p>
      <w:pPr>
        <w:pStyle w:val="Heading1"/>
      </w:pPr>
      <w:r>
        <w:rPr>
          <w:color w:val="1A1A2E"/>
        </w:rPr>
        <w:t>Implementation Priority &amp; Effort Estimates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Gap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Dependencies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Ship Target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PEP &amp; Sanctions API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color w:val="DC2626"/>
                <w:sz w:val="20"/>
              </w:rPr>
              <w:t>CRITICAL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2-3 days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Provider account + API key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Before first paying firm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Regulatory Scraper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color w:val="D97706"/>
                <w:sz w:val="20"/>
              </w:rPr>
              <w:t>HIGH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3-4 days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Celery worker running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Within 2 weeks of launch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SRA Register Lookup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/>
                <w:color w:val="2563EB"/>
                <w:sz w:val="20"/>
              </w:rPr>
              <w:t>MEDIUM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1 day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None (public data)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0"/>
              </w:rPr>
              <w:t>Before onboarding goes live</w:t>
            </w:r>
          </w:p>
        </w:tc>
      </w:tr>
    </w:tbl>
    <w:p/>
    <w:p>
      <w:pPr>
        <w:pStyle w:val="Heading1"/>
      </w:pPr>
      <w:r>
        <w:rPr>
          <w:color w:val="059669"/>
        </w:rPr>
        <w:t>For Reference: What Is Already Production-Ready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Authentication with JWT tokens, session management, account lockout after 5 failed attempts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Registration, 6-step onboarding wizard, and compliance data seeding (58 checks, 33 audit items, 13 tasks)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Client intake with risk assessment, Knowledge Engine validation, and matter checklist auto-creation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Conflict of interest checking with fuzzy search across the party register (SRA Code para 6.1-6.2)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Full AML/CDD workflow: CDD creation, verification gates, PEP flagging cascades, SAR creation with MLRO decision flow (MLR 2017, POCA s.330)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Undertakings register with fulfilment tracking and breach escalation (SRA Code para 1.3)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Complaints handling with 2-day acknowledgement clock, 8-week response deadline, Legal Ombudsman escalation (SRA Code para 1.4)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Client account management with transaction audit trail, overdraft alerts, and 5-weekly reconciliation (SRA Accounts Rules 2019)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Key dates calculator for limitation periods (Limitation Act 1980), CPR deadlines, and pre-action protocols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Chase engine running daily via Celery — overdue training, file reviews, CDD, supervision — with firm-specific email settings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CSV import engine for staff, cases, training, and clients with deduplication and error reporting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Staff management with training assignment (individual + bulk), file review assignment, and supervision scheduling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Dashboard with real-time aggregation of all compliance metrics and daily COLP briefing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Full audit trail on every action (user, firm, entity, IP address, timestamp)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Breach reports, remediation plans, regulatory updates, policy management, evidence locker, SRA audit items</w:t>
      </w:r>
    </w:p>
    <w:p>
      <w:pPr>
        <w:spacing w:after="80"/>
      </w:pPr>
      <w:r>
        <w:rPr>
          <w:b/>
          <w:color w:val="059669"/>
          <w:sz w:val="20"/>
        </w:rPr>
        <w:t xml:space="preserve">✓  </w:t>
      </w:r>
      <w:r>
        <w:rPr>
          <w:rFonts w:ascii="Arial" w:hAnsi="Arial"/>
          <w:sz w:val="20"/>
        </w:rPr>
        <w:t>Multi-tenant data isolation via TenantQuery on every single database query</w:t>
      </w:r>
    </w:p>
    <w:p/>
    <w:p>
      <w:pPr>
        <w:jc w:val="center"/>
      </w:pPr>
      <w:r>
        <w:rPr>
          <w:i/>
          <w:color w:val="9CA3AF"/>
          <w:sz w:val="18"/>
        </w:rPr>
        <w:t>Seema — AI Compliance Operating System for SRA-Regulated Law Firms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