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A1A2E"/>
          <w:sz w:val="48"/>
        </w:rPr>
        <w:t>Data Breach Notification Procedure</w:t>
      </w:r>
    </w:p>
    <w:p>
      <w:pPr>
        <w:spacing w:after="480"/>
        <w:jc w:val="center"/>
      </w:pPr>
      <w:r>
        <w:rPr>
          <w:rFonts w:ascii="Arial" w:hAnsi="Arial"/>
          <w:i/>
          <w:color w:val="666666"/>
          <w:sz w:val="20"/>
        </w:rPr>
        <w:t>Internal Procedure  |  Version 1.0  |  [DATE]</w:t>
      </w:r>
    </w:p>
    <w:p>
      <w:pPr>
        <w:pStyle w:val="Heading1"/>
      </w:pPr>
      <w:r>
        <w:t>1. Purpose</w:t>
      </w:r>
    </w:p>
    <w:p>
      <w:r>
        <w:t>This procedure sets out the steps Seema AI Ltd will take upon becoming aware of a personal data breach, in compliance with Articles 33 and 34 of the UK GDPR and ICO guidance.</w:t>
      </w:r>
    </w:p>
    <w:p>
      <w:pPr>
        <w:pStyle w:val="Heading1"/>
      </w:pPr>
      <w:r>
        <w:t>2. What Is a Personal Data Breach</w:t>
      </w:r>
    </w:p>
    <w:p>
      <w:r>
        <w:t>A personal data breach is a breach of security leading to the accidental or unlawful destruction, loss, alteration, unauthorised disclosure of, or access to, personal data. This includes:</w:t>
      </w:r>
    </w:p>
    <w:p>
      <w:pPr>
        <w:pStyle w:val="ListBullet"/>
      </w:pPr>
      <w:r>
        <w:t>Unauthorised access to customer/firm data</w:t>
      </w:r>
    </w:p>
    <w:p>
      <w:pPr>
        <w:pStyle w:val="ListBullet"/>
      </w:pPr>
      <w:r>
        <w:t>Accidental disclosure of data to wrong recipient</w:t>
      </w:r>
    </w:p>
    <w:p>
      <w:pPr>
        <w:pStyle w:val="ListBullet"/>
      </w:pPr>
      <w:r>
        <w:t>Loss of devices containing personal data</w:t>
      </w:r>
    </w:p>
    <w:p>
      <w:pPr>
        <w:pStyle w:val="ListBullet"/>
      </w:pPr>
      <w:r>
        <w:t>Ransomware or malware compromising data availability</w:t>
      </w:r>
    </w:p>
    <w:p>
      <w:pPr>
        <w:pStyle w:val="ListBullet"/>
      </w:pPr>
      <w:r>
        <w:t>Cross-tenant data leakage</w:t>
      </w:r>
    </w:p>
    <w:p>
      <w:pPr>
        <w:pStyle w:val="ListBullet"/>
      </w:pPr>
      <w:r>
        <w:t>Accidental deletion of data without backup</w:t>
      </w:r>
    </w:p>
    <w:p>
      <w:pPr>
        <w:pStyle w:val="Heading1"/>
      </w:pPr>
      <w:r>
        <w:t>3. Roles and Responsibilities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2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120"/>
            <w:shd w:fill="F0F4FF"/>
          </w:tcPr>
          <w:p>
            <w:r/>
            <w:r>
              <w:rPr>
                <w:rFonts w:ascii="Arial" w:hAnsi="Arial"/>
                <w:sz w:val="20"/>
              </w:rPr>
              <w:t>Breach Lead</w:t>
            </w:r>
          </w:p>
        </w:tc>
        <w:tc>
          <w:tcPr>
            <w:tcW w:type="dxa" w:w="3120"/>
            <w:shd w:fill="F0F4FF"/>
          </w:tcPr>
          <w:p>
            <w:r/>
            <w:r>
              <w:rPr>
                <w:rFonts w:ascii="Arial" w:hAnsi="Arial"/>
                <w:sz w:val="20"/>
              </w:rPr>
              <w:t>[CTO/Technical Lead]</w:t>
            </w:r>
          </w:p>
        </w:tc>
        <w:tc>
          <w:tcPr>
            <w:tcW w:type="dxa" w:w="3120"/>
            <w:shd w:fill="F0F4FF"/>
          </w:tcPr>
          <w:p>
            <w:r/>
            <w:r>
              <w:rPr>
                <w:rFonts w:ascii="Arial" w:hAnsi="Arial"/>
                <w:sz w:val="20"/>
              </w:rPr>
              <w:t>Coordinates technical investigation and containment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Data Protection Lead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[DPO/Founder]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Assesses severity, decides on notifications, communicates with ICO</w:t>
            </w:r>
          </w:p>
        </w:tc>
      </w:tr>
      <w:tr>
        <w:tc>
          <w:tcPr>
            <w:tcW w:type="dxa" w:w="3120"/>
            <w:shd w:fill="F0F4FF"/>
          </w:tcPr>
          <w:p>
            <w:r/>
            <w:r>
              <w:rPr>
                <w:rFonts w:ascii="Arial" w:hAnsi="Arial"/>
                <w:sz w:val="20"/>
              </w:rPr>
              <w:t>Communications Lead</w:t>
            </w:r>
          </w:p>
        </w:tc>
        <w:tc>
          <w:tcPr>
            <w:tcW w:type="dxa" w:w="3120"/>
            <w:shd w:fill="F0F4FF"/>
          </w:tcPr>
          <w:p>
            <w:r/>
            <w:r>
              <w:rPr>
                <w:rFonts w:ascii="Arial" w:hAnsi="Arial"/>
                <w:sz w:val="20"/>
              </w:rPr>
              <w:t>[Founder]</w:t>
            </w:r>
          </w:p>
        </w:tc>
        <w:tc>
          <w:tcPr>
            <w:tcW w:type="dxa" w:w="3120"/>
            <w:shd w:fill="F0F4FF"/>
          </w:tcPr>
          <w:p>
            <w:r/>
            <w:r>
              <w:rPr>
                <w:rFonts w:ascii="Arial" w:hAnsi="Arial"/>
                <w:sz w:val="20"/>
              </w:rPr>
              <w:t>Manages customer communications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All Staff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Everyone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Report suspected breaches immediately</w:t>
            </w:r>
          </w:p>
        </w:tc>
      </w:tr>
    </w:tbl>
    <w:p/>
    <w:p>
      <w:pPr>
        <w:pStyle w:val="Heading1"/>
      </w:pPr>
      <w:r>
        <w:t>4. Procedure</w:t>
      </w:r>
    </w:p>
    <w:p>
      <w:pPr>
        <w:pStyle w:val="Heading2"/>
      </w:pPr>
      <w:r>
        <w:t>Step 1: Detection and Reporting (0–1 hours)</w:t>
      </w:r>
    </w:p>
    <w:p>
      <w:pPr>
        <w:pStyle w:val="ListBullet"/>
      </w:pPr>
      <w:r>
        <w:t>Any person who suspects a breach must report it immediately to the Breach Lead</w:t>
      </w:r>
    </w:p>
    <w:p>
      <w:pPr>
        <w:pStyle w:val="ListBullet"/>
      </w:pPr>
      <w:r>
        <w:t>Reports can be made via: email to security@seemaai.co.uk, direct message, or phone call</w:t>
      </w:r>
    </w:p>
    <w:p>
      <w:pPr>
        <w:pStyle w:val="ListBullet"/>
      </w:pPr>
      <w:r>
        <w:t>The Breach Lead acknowledges receipt and creates a breach record</w:t>
      </w:r>
    </w:p>
    <w:p>
      <w:pPr>
        <w:pStyle w:val="Heading2"/>
      </w:pPr>
      <w:r>
        <w:t>Step 2: Containment (1–4 hours)</w:t>
      </w:r>
    </w:p>
    <w:p>
      <w:pPr>
        <w:pStyle w:val="ListBullet"/>
      </w:pPr>
      <w:r>
        <w:t>Assess the scope: what data, how many records, which firms affected</w:t>
      </w:r>
    </w:p>
    <w:p>
      <w:pPr>
        <w:pStyle w:val="ListBullet"/>
      </w:pPr>
      <w:r>
        <w:t>Contain the breach: revoke access, patch vulnerability, isolate affected systems</w:t>
      </w:r>
    </w:p>
    <w:p>
      <w:pPr>
        <w:pStyle w:val="ListBullet"/>
      </w:pPr>
      <w:r>
        <w:t>Preserve evidence: logs, screenshots, forensic copies</w:t>
      </w:r>
    </w:p>
    <w:p>
      <w:pPr>
        <w:pStyle w:val="ListBullet"/>
      </w:pPr>
      <w:r>
        <w:t>Prevent further data loss</w:t>
      </w:r>
    </w:p>
    <w:p>
      <w:pPr>
        <w:pStyle w:val="Heading2"/>
      </w:pPr>
      <w:r>
        <w:t>Step 3: Assessment (4–12 hours)</w:t>
      </w:r>
    </w:p>
    <w:p>
      <w:r>
        <w:t>The Data Protection Lead assesses:</w:t>
      </w:r>
    </w:p>
    <w:p>
      <w:pPr>
        <w:pStyle w:val="ListBullet"/>
      </w:pPr>
      <w:r>
        <w:t>What type of personal data is involved</w:t>
      </w:r>
    </w:p>
    <w:p>
      <w:pPr>
        <w:pStyle w:val="ListBullet"/>
      </w:pPr>
      <w:r>
        <w:t>How many individuals and firms are affected</w:t>
      </w:r>
    </w:p>
    <w:p>
      <w:pPr>
        <w:pStyle w:val="ListBullet"/>
      </w:pPr>
      <w:r>
        <w:t>Whether the data was encrypted or otherwise protected</w:t>
      </w:r>
    </w:p>
    <w:p>
      <w:pPr>
        <w:pStyle w:val="ListBullet"/>
      </w:pPr>
      <w:r>
        <w:t>Whether ICO notification is required (threshold: likely risk to individuals)</w:t>
      </w:r>
    </w:p>
    <w:p>
      <w:pPr>
        <w:pStyle w:val="ListBullet"/>
      </w:pPr>
      <w:r>
        <w:t>Whether notification to affected individuals is required (threshold: high risk)</w:t>
      </w:r>
    </w:p>
    <w:p>
      <w:pPr>
        <w:pStyle w:val="Heading2"/>
      </w:pPr>
      <w:r>
        <w:t>Step 4: Notification to Controllers (within 24 hours)</w:t>
      </w:r>
    </w:p>
    <w:p>
      <w:r>
        <w:t>As a data processor, Seema must notify affected controllers (law firms) without undue delay and in any event within 24 hours. The notification shall include:</w:t>
      </w:r>
    </w:p>
    <w:p>
      <w:r>
        <w:t>1. Description of the nature of the breach</w:t>
      </w:r>
    </w:p>
    <w:p>
      <w:r>
        <w:t>2. Categories and approximate number of data subjects affected</w:t>
      </w:r>
    </w:p>
    <w:p>
      <w:r>
        <w:t>3. Likely consequences</w:t>
      </w:r>
    </w:p>
    <w:p>
      <w:r>
        <w:t>4. Measures taken or proposed to address the breach</w:t>
      </w:r>
    </w:p>
    <w:p>
      <w:r>
        <w:t>5. Contact point for further information</w:t>
      </w:r>
    </w:p>
    <w:p>
      <w:pPr>
        <w:pStyle w:val="Heading2"/>
      </w:pPr>
      <w:r>
        <w:t>Step 5: ICO Notification (within 72 hours)</w:t>
      </w:r>
    </w:p>
    <w:p>
      <w:r>
        <w:t>Seema will assist affected controllers in making their ICO notifications by providing all necessary information. The 72-hour clock starts when the controller becomes aware.</w:t>
      </w:r>
    </w:p>
    <w:p>
      <w:pPr>
        <w:pStyle w:val="Heading2"/>
      </w:pPr>
      <w:r>
        <w:t>Step 6: Documentation and Review (within 7 days)</w:t>
      </w:r>
    </w:p>
    <w:p>
      <w:pPr>
        <w:pStyle w:val="ListBullet"/>
      </w:pPr>
      <w:r>
        <w:t>Document the breach fully: timeline, cause, impact, response, decisions</w:t>
      </w:r>
    </w:p>
    <w:p>
      <w:pPr>
        <w:pStyle w:val="ListBullet"/>
      </w:pPr>
      <w:r>
        <w:t>Conduct root cause analysis</w:t>
      </w:r>
    </w:p>
    <w:p>
      <w:pPr>
        <w:pStyle w:val="ListBullet"/>
      </w:pPr>
      <w:r>
        <w:t>Implement remedial actions to prevent recurrence</w:t>
      </w:r>
    </w:p>
    <w:p>
      <w:pPr>
        <w:pStyle w:val="ListBullet"/>
      </w:pPr>
      <w:r>
        <w:t>Update this procedure if lessons are learned</w:t>
      </w:r>
    </w:p>
    <w:p>
      <w:pPr>
        <w:pStyle w:val="ListBullet"/>
      </w:pPr>
      <w:r>
        <w:t>Brief all staff on relevant findings</w:t>
      </w:r>
    </w:p>
    <w:p>
      <w:pPr>
        <w:pStyle w:val="Heading1"/>
      </w:pPr>
      <w:r>
        <w:t>5. Breach Register</w:t>
      </w:r>
    </w:p>
    <w:p>
      <w:r>
        <w:t>All breaches (whether notifiable or not) are recorded in the breach register, including date/time, description, cause, data and individuals affected, actions taken, notification decisions with reasoning, and outcome/lessons learned.</w:t>
      </w:r>
    </w:p>
    <w:p>
      <w:pPr>
        <w:pStyle w:val="Heading1"/>
      </w:pPr>
      <w:r>
        <w:t>6. Testing and Review</w:t>
      </w:r>
    </w:p>
    <w:p>
      <w:r>
        <w:t>This procedure will be tested annually through tabletop exercises and reviewed annually or following any breach incident.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Seema AI Ltd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4A6CF7"/>
        <w:sz w:val="18"/>
      </w:rPr>
      <w:t>SEEMA</w:t>
    </w:r>
    <w:r>
      <w:rPr>
        <w:rFonts w:ascii="Arial" w:hAnsi="Arial"/>
        <w:color w:val="666666"/>
        <w:sz w:val="16"/>
      </w:rPr>
      <w:t xml:space="preserve">  |  Breach Notification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