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1A2E"/>
          <w:sz w:val="48"/>
        </w:rPr>
        <w:t>Data Protection Impact Assessment</w:t>
      </w:r>
    </w:p>
    <w:p>
      <w:pPr>
        <w:jc w:val="center"/>
      </w:pPr>
      <w:r>
        <w:rPr>
          <w:rFonts w:ascii="Arial" w:hAnsi="Arial"/>
          <w:sz w:val="28"/>
        </w:rPr>
        <w:t>Seema Compliance Platform</w:t>
      </w:r>
    </w:p>
    <w:p>
      <w:pPr>
        <w:spacing w:after="480"/>
        <w:jc w:val="center"/>
      </w:pPr>
      <w:r>
        <w:rPr>
          <w:rFonts w:ascii="Arial" w:hAnsi="Arial"/>
          <w:i/>
          <w:color w:val="666666"/>
          <w:sz w:val="20"/>
        </w:rPr>
        <w:t>Version 1.0  |  Date: [DATE]  |  Author: [NAME]</w:t>
      </w:r>
    </w:p>
    <w:p>
      <w:pPr>
        <w:pStyle w:val="Heading1"/>
      </w:pPr>
      <w:r>
        <w:t>1. Introduction</w:t>
      </w:r>
    </w:p>
    <w:p>
      <w:r>
        <w:t>This Data Protection Impact Assessment (DPIA) is conducted in accordance with Article 35 of the UK GDPR. It assesses the data protection risks associated with the Seema compliance platform, which processes personal data of law firm staff and their clients to provide automated compliance management services.</w:t>
      </w:r>
    </w:p>
    <w:p>
      <w:pPr>
        <w:pStyle w:val="Heading2"/>
      </w:pPr>
      <w:r>
        <w:t>1.1 Why a DPIA is Required</w:t>
      </w:r>
    </w:p>
    <w:p>
      <w:r>
        <w:t>A DPIA is required because Seema’s processing involves:</w:t>
      </w:r>
    </w:p>
    <w:p>
      <w:pPr>
        <w:pStyle w:val="ListBullet"/>
      </w:pPr>
      <w:r>
        <w:t>Systematic monitoring of employees (training compliance, supervision schedules, file reviews)</w:t>
      </w:r>
    </w:p>
    <w:p>
      <w:pPr>
        <w:pStyle w:val="ListBullet"/>
      </w:pPr>
      <w:r>
        <w:t>Processing of data relating to criminal convictions or offences (breach reports, SRA disciplinary data)</w:t>
      </w:r>
    </w:p>
    <w:p>
      <w:pPr>
        <w:pStyle w:val="ListBullet"/>
      </w:pPr>
      <w:r>
        <w:t>Use of artificial intelligence to generate automated recommendations</w:t>
      </w:r>
    </w:p>
    <w:p>
      <w:pPr>
        <w:pStyle w:val="ListBullet"/>
      </w:pPr>
      <w:r>
        <w:t>Large-scale processing of personal data across multiple law firms (multi-tenancy)</w:t>
      </w:r>
    </w:p>
    <w:p>
      <w:pPr>
        <w:pStyle w:val="Heading1"/>
      </w:pPr>
      <w:r>
        <w:t>2. Description of Processing</w:t>
      </w:r>
    </w:p>
    <w:p>
      <w:pPr>
        <w:pStyle w:val="Heading2"/>
      </w:pPr>
      <w:r>
        <w:t>2.1 Nature of Processing</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A1A2E"/>
          </w:tcPr>
          <w:p>
            <w:r/>
            <w:r>
              <w:rPr>
                <w:rFonts w:ascii="Arial" w:hAnsi="Arial"/>
                <w:b/>
                <w:color w:val="FFFFFF"/>
                <w:sz w:val="20"/>
              </w:rPr>
              <w:t>Aspect</w:t>
            </w:r>
          </w:p>
        </w:tc>
        <w:tc>
          <w:tcPr>
            <w:tcW w:type="dxa" w:w="4680"/>
            <w:shd w:fill="1A1A2E"/>
          </w:tcPr>
          <w:p>
            <w:r/>
            <w:r>
              <w:rPr>
                <w:rFonts w:ascii="Arial" w:hAnsi="Arial"/>
                <w:b/>
                <w:color w:val="FFFFFF"/>
                <w:sz w:val="20"/>
              </w:rPr>
              <w:t>Detail</w:t>
            </w:r>
          </w:p>
        </w:tc>
      </w:tr>
      <w:tr>
        <w:tc>
          <w:tcPr>
            <w:tcW w:type="dxa" w:w="4680"/>
            <w:shd w:fill="F0F4FF"/>
          </w:tcPr>
          <w:p>
            <w:r/>
            <w:r>
              <w:rPr>
                <w:rFonts w:ascii="Arial" w:hAnsi="Arial"/>
                <w:sz w:val="20"/>
              </w:rPr>
              <w:t>Platform</w:t>
            </w:r>
          </w:p>
        </w:tc>
        <w:tc>
          <w:tcPr>
            <w:tcW w:type="dxa" w:w="4680"/>
            <w:shd w:fill="F0F4FF"/>
          </w:tcPr>
          <w:p>
            <w:r/>
            <w:r>
              <w:rPr>
                <w:rFonts w:ascii="Arial" w:hAnsi="Arial"/>
                <w:sz w:val="20"/>
              </w:rPr>
              <w:t>Seema — cloud-based compliance intelligence platform</w:t>
            </w:r>
          </w:p>
        </w:tc>
      </w:tr>
      <w:tr>
        <w:tc>
          <w:tcPr>
            <w:tcW w:type="dxa" w:w="4680"/>
          </w:tcPr>
          <w:p>
            <w:r/>
            <w:r>
              <w:rPr>
                <w:rFonts w:ascii="Arial" w:hAnsi="Arial"/>
                <w:sz w:val="20"/>
              </w:rPr>
              <w:t>Controller</w:t>
            </w:r>
          </w:p>
        </w:tc>
        <w:tc>
          <w:tcPr>
            <w:tcW w:type="dxa" w:w="4680"/>
          </w:tcPr>
          <w:p>
            <w:r/>
            <w:r>
              <w:rPr>
                <w:rFonts w:ascii="Arial" w:hAnsi="Arial"/>
                <w:sz w:val="20"/>
              </w:rPr>
              <w:t>Each subscribing law firm (acting as separate data controllers)</w:t>
            </w:r>
          </w:p>
        </w:tc>
      </w:tr>
      <w:tr>
        <w:tc>
          <w:tcPr>
            <w:tcW w:type="dxa" w:w="4680"/>
            <w:shd w:fill="F0F4FF"/>
          </w:tcPr>
          <w:p>
            <w:r/>
            <w:r>
              <w:rPr>
                <w:rFonts w:ascii="Arial" w:hAnsi="Arial"/>
                <w:sz w:val="20"/>
              </w:rPr>
              <w:t>Processor</w:t>
            </w:r>
          </w:p>
        </w:tc>
        <w:tc>
          <w:tcPr>
            <w:tcW w:type="dxa" w:w="4680"/>
            <w:shd w:fill="F0F4FF"/>
          </w:tcPr>
          <w:p>
            <w:r/>
            <w:r>
              <w:rPr>
                <w:rFonts w:ascii="Arial" w:hAnsi="Arial"/>
                <w:sz w:val="20"/>
              </w:rPr>
              <w:t>Seema AI Ltd</w:t>
            </w:r>
          </w:p>
        </w:tc>
      </w:tr>
      <w:tr>
        <w:tc>
          <w:tcPr>
            <w:tcW w:type="dxa" w:w="4680"/>
          </w:tcPr>
          <w:p>
            <w:r/>
            <w:r>
              <w:rPr>
                <w:rFonts w:ascii="Arial" w:hAnsi="Arial"/>
                <w:sz w:val="20"/>
              </w:rPr>
              <w:t>Data subjects</w:t>
            </w:r>
          </w:p>
        </w:tc>
        <w:tc>
          <w:tcPr>
            <w:tcW w:type="dxa" w:w="4680"/>
          </w:tcPr>
          <w:p>
            <w:r/>
            <w:r>
              <w:rPr>
                <w:rFonts w:ascii="Arial" w:hAnsi="Arial"/>
                <w:sz w:val="20"/>
              </w:rPr>
              <w:t>Law firm staff, clients (CDD/intake data only)</w:t>
            </w:r>
          </w:p>
        </w:tc>
      </w:tr>
      <w:tr>
        <w:tc>
          <w:tcPr>
            <w:tcW w:type="dxa" w:w="4680"/>
            <w:shd w:fill="F0F4FF"/>
          </w:tcPr>
          <w:p>
            <w:r/>
            <w:r>
              <w:rPr>
                <w:rFonts w:ascii="Arial" w:hAnsi="Arial"/>
                <w:sz w:val="20"/>
              </w:rPr>
              <w:t>Processing operations</w:t>
            </w:r>
          </w:p>
        </w:tc>
        <w:tc>
          <w:tcPr>
            <w:tcW w:type="dxa" w:w="4680"/>
            <w:shd w:fill="F0F4FF"/>
          </w:tcPr>
          <w:p>
            <w:r/>
            <w:r>
              <w:rPr>
                <w:rFonts w:ascii="Arial" w:hAnsi="Arial"/>
                <w:sz w:val="20"/>
              </w:rPr>
              <w:t>Collection, storage, analysis, automated alerts, AI analysis, email notifications, reporting</w:t>
            </w:r>
          </w:p>
        </w:tc>
      </w:tr>
      <w:tr>
        <w:tc>
          <w:tcPr>
            <w:tcW w:type="dxa" w:w="4680"/>
          </w:tcPr>
          <w:p>
            <w:r/>
            <w:r>
              <w:rPr>
                <w:rFonts w:ascii="Arial" w:hAnsi="Arial"/>
                <w:sz w:val="20"/>
              </w:rPr>
              <w:t>Technology</w:t>
            </w:r>
          </w:p>
        </w:tc>
        <w:tc>
          <w:tcPr>
            <w:tcW w:type="dxa" w:w="4680"/>
          </w:tcPr>
          <w:p>
            <w:r/>
            <w:r>
              <w:rPr>
                <w:rFonts w:ascii="Arial" w:hAnsi="Arial"/>
                <w:sz w:val="20"/>
              </w:rPr>
              <w:t>FastAPI, PostgreSQL, Redis, Celery, Claude AI (Anthropic)</w:t>
            </w:r>
          </w:p>
        </w:tc>
      </w:tr>
      <w:tr>
        <w:tc>
          <w:tcPr>
            <w:tcW w:type="dxa" w:w="4680"/>
            <w:shd w:fill="F0F4FF"/>
          </w:tcPr>
          <w:p>
            <w:r/>
            <w:r>
              <w:rPr>
                <w:rFonts w:ascii="Arial" w:hAnsi="Arial"/>
                <w:sz w:val="20"/>
              </w:rPr>
              <w:t>Hosting</w:t>
            </w:r>
          </w:p>
        </w:tc>
        <w:tc>
          <w:tcPr>
            <w:tcW w:type="dxa" w:w="4680"/>
            <w:shd w:fill="F0F4FF"/>
          </w:tcPr>
          <w:p>
            <w:r/>
            <w:r>
              <w:rPr>
                <w:rFonts w:ascii="Arial" w:hAnsi="Arial"/>
                <w:sz w:val="20"/>
              </w:rPr>
              <w:t>UK/EU VPS infrastructure</w:t>
            </w:r>
          </w:p>
        </w:tc>
      </w:tr>
    </w:tbl>
    <w:p/>
    <w:p>
      <w:pPr>
        <w:pStyle w:val="Heading2"/>
      </w:pPr>
      <w:r>
        <w:t>2.2 Data Flows</w:t>
      </w:r>
    </w:p>
    <w:p>
      <w:r>
        <w:t>1. Firm staff data enters Seema via manual input or CSV import</w:t>
      </w:r>
    </w:p>
    <w:p>
      <w:r>
        <w:t>2. Training, supervision, and review records are tracked and monitored</w:t>
      </w:r>
    </w:p>
    <w:p>
      <w:r>
        <w:t>3. Client intake data (CDD/EDD) is entered during client onboarding</w:t>
      </w:r>
    </w:p>
    <w:p>
      <w:r>
        <w:t>4. Regulatory updates are scraped from public sources (SRA, ICO, GOV.UK, Law Society)</w:t>
      </w:r>
    </w:p>
    <w:p>
      <w:r>
        <w:t>5. AI analysis sends regulatory text + firm profile to Anthropic API; receives structured analysis</w:t>
      </w:r>
    </w:p>
    <w:p>
      <w:r>
        <w:t>6. Chase emails are sent via SendGrid to staff with overdue items</w:t>
      </w:r>
    </w:p>
    <w:p>
      <w:r>
        <w:t>7. Weekly digest emails are sent to COLPs summarising compliance status</w:t>
      </w:r>
    </w:p>
    <w:p>
      <w:r>
        <w:t>8. Billing data flows to Stripe for subscription management</w:t>
      </w:r>
    </w:p>
    <w:p>
      <w:pPr>
        <w:pStyle w:val="Heading1"/>
      </w:pPr>
      <w:r>
        <w:t>3. Necessity and Proportionality</w:t>
      </w:r>
    </w:p>
    <w:p>
      <w:pPr>
        <w:pStyle w:val="Heading2"/>
      </w:pPr>
      <w:r>
        <w:t>3.1 Lawful Basis</w:t>
      </w:r>
    </w:p>
    <w:p>
      <w:r>
        <w:t>The primary lawful bases for processing are:</w:t>
      </w:r>
    </w:p>
    <w:p>
      <w:pPr>
        <w:pStyle w:val="ListBullet"/>
      </w:pPr>
      <w:r>
        <w:t>Contract performance (Art. 6(1)(b)): providing the compliance platform as contracted</w:t>
      </w:r>
    </w:p>
    <w:p>
      <w:pPr>
        <w:pStyle w:val="ListBullet"/>
      </w:pPr>
      <w:r>
        <w:t>Legal obligation (Art. 6(1)(c)): supporting firms’ obligations under MLR 2017, SRA Standards and Regulations, UK GDPR</w:t>
      </w:r>
    </w:p>
    <w:p>
      <w:pPr>
        <w:pStyle w:val="ListBullet"/>
      </w:pPr>
      <w:r>
        <w:t>Legitimate interest (Art. 6(1)(f)): platform improvement, security monitoring, AI-powered analysis</w:t>
      </w:r>
    </w:p>
    <w:p>
      <w:pPr>
        <w:pStyle w:val="Heading2"/>
      </w:pPr>
      <w:r>
        <w:t>3.2 Proportionality Assessment</w:t>
      </w:r>
    </w:p>
    <w:p>
      <w:r>
        <w:t>The data processed is the minimum necessary to provide effective compliance management:</w:t>
      </w:r>
    </w:p>
    <w:p>
      <w:pPr>
        <w:pStyle w:val="ListBullet"/>
      </w:pPr>
      <w:r>
        <w:t>Staff data: limited to professional details needed for compliance tracking</w:t>
      </w:r>
    </w:p>
    <w:p>
      <w:pPr>
        <w:pStyle w:val="ListBullet"/>
      </w:pPr>
      <w:r>
        <w:t>Client data: limited to CDD/EDD requirements mandated by the Money Laundering Regulations 2017</w:t>
      </w:r>
    </w:p>
    <w:p>
      <w:pPr>
        <w:pStyle w:val="ListBullet"/>
      </w:pPr>
      <w:r>
        <w:t>AI processing: only firm profile and regulatory text are sent to the AI; no individual personal data</w:t>
      </w:r>
    </w:p>
    <w:p>
      <w:pPr>
        <w:pStyle w:val="ListBullet"/>
      </w:pPr>
      <w:r>
        <w:t>Automated chasing: operates only on overdue items with configurable frequency and opt-out per firm</w:t>
      </w:r>
    </w:p>
    <w:p>
      <w:pPr>
        <w:pStyle w:val="Heading1"/>
      </w:pPr>
      <w:r>
        <w:t>4. Risk Assessment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1A1A2E"/>
          </w:tcPr>
          <w:p>
            <w:r/>
            <w:r>
              <w:rPr>
                <w:rFonts w:ascii="Arial" w:hAnsi="Arial"/>
                <w:b/>
                <w:color w:val="FFFFFF"/>
                <w:sz w:val="20"/>
              </w:rPr>
              <w:t>Risk</w:t>
            </w:r>
          </w:p>
        </w:tc>
        <w:tc>
          <w:tcPr>
            <w:tcW w:type="dxa" w:w="1872"/>
            <w:shd w:fill="1A1A2E"/>
          </w:tcPr>
          <w:p>
            <w:r/>
            <w:r>
              <w:rPr>
                <w:rFonts w:ascii="Arial" w:hAnsi="Arial"/>
                <w:b/>
                <w:color w:val="FFFFFF"/>
                <w:sz w:val="20"/>
              </w:rPr>
              <w:t>Likelihood</w:t>
            </w:r>
          </w:p>
        </w:tc>
        <w:tc>
          <w:tcPr>
            <w:tcW w:type="dxa" w:w="1872"/>
            <w:shd w:fill="1A1A2E"/>
          </w:tcPr>
          <w:p>
            <w:r/>
            <w:r>
              <w:rPr>
                <w:rFonts w:ascii="Arial" w:hAnsi="Arial"/>
                <w:b/>
                <w:color w:val="FFFFFF"/>
                <w:sz w:val="20"/>
              </w:rPr>
              <w:t>Severity</w:t>
            </w:r>
          </w:p>
        </w:tc>
        <w:tc>
          <w:tcPr>
            <w:tcW w:type="dxa" w:w="1872"/>
            <w:shd w:fill="1A1A2E"/>
          </w:tcPr>
          <w:p>
            <w:r/>
            <w:r>
              <w:rPr>
                <w:rFonts w:ascii="Arial" w:hAnsi="Arial"/>
                <w:b/>
                <w:color w:val="FFFFFF"/>
                <w:sz w:val="20"/>
              </w:rPr>
              <w:t>Overall</w:t>
            </w:r>
          </w:p>
        </w:tc>
        <w:tc>
          <w:tcPr>
            <w:tcW w:type="dxa" w:w="1872"/>
            <w:shd w:fill="1A1A2E"/>
          </w:tcPr>
          <w:p>
            <w:r/>
            <w:r>
              <w:rPr>
                <w:rFonts w:ascii="Arial" w:hAnsi="Arial"/>
                <w:b/>
                <w:color w:val="FFFFFF"/>
                <w:sz w:val="20"/>
              </w:rPr>
              <w:t>Mitigation</w:t>
            </w:r>
          </w:p>
        </w:tc>
      </w:tr>
      <w:tr>
        <w:tc>
          <w:tcPr>
            <w:tcW w:type="dxa" w:w="1872"/>
            <w:shd w:fill="F0F4FF"/>
          </w:tcPr>
          <w:p>
            <w:r/>
            <w:r>
              <w:rPr>
                <w:rFonts w:ascii="Arial" w:hAnsi="Arial"/>
                <w:sz w:val="20"/>
              </w:rPr>
              <w:t>Unauthorised access to firm data</w:t>
            </w:r>
          </w:p>
        </w:tc>
        <w:tc>
          <w:tcPr>
            <w:tcW w:type="dxa" w:w="1872"/>
            <w:shd w:fill="F0F4FF"/>
          </w:tcPr>
          <w:p>
            <w:r/>
            <w:r>
              <w:rPr>
                <w:rFonts w:ascii="Arial" w:hAnsi="Arial"/>
                <w:sz w:val="20"/>
              </w:rPr>
              <w:t>Low</w:t>
            </w:r>
          </w:p>
        </w:tc>
        <w:tc>
          <w:tcPr>
            <w:tcW w:type="dxa" w:w="1872"/>
            <w:shd w:fill="F0F4FF"/>
          </w:tcPr>
          <w:p>
            <w:r/>
            <w:r>
              <w:rPr>
                <w:rFonts w:ascii="Arial" w:hAnsi="Arial"/>
                <w:sz w:val="20"/>
              </w:rPr>
              <w:t>High</w:t>
            </w:r>
          </w:p>
        </w:tc>
        <w:tc>
          <w:tcPr>
            <w:tcW w:type="dxa" w:w="1872"/>
            <w:shd w:fill="F0F4FF"/>
          </w:tcPr>
          <w:p>
            <w:r/>
            <w:r>
              <w:rPr>
                <w:rFonts w:ascii="Arial" w:hAnsi="Arial"/>
                <w:sz w:val="20"/>
              </w:rPr>
              <w:t>Medium</w:t>
            </w:r>
          </w:p>
        </w:tc>
        <w:tc>
          <w:tcPr>
            <w:tcW w:type="dxa" w:w="1872"/>
            <w:shd w:fill="F0F4FF"/>
          </w:tcPr>
          <w:p>
            <w:r/>
            <w:r>
              <w:rPr>
                <w:rFonts w:ascii="Arial" w:hAnsi="Arial"/>
                <w:sz w:val="20"/>
              </w:rPr>
              <w:t>JWT auth, RBAC, rate limiting, account lockout</w:t>
            </w:r>
          </w:p>
        </w:tc>
      </w:tr>
      <w:tr>
        <w:tc>
          <w:tcPr>
            <w:tcW w:type="dxa" w:w="1872"/>
          </w:tcPr>
          <w:p>
            <w:r/>
            <w:r>
              <w:rPr>
                <w:rFonts w:ascii="Arial" w:hAnsi="Arial"/>
                <w:sz w:val="20"/>
              </w:rPr>
              <w:t>Cross-tenant data leakage</w:t>
            </w:r>
          </w:p>
        </w:tc>
        <w:tc>
          <w:tcPr>
            <w:tcW w:type="dxa" w:w="1872"/>
          </w:tcPr>
          <w:p>
            <w:r/>
            <w:r>
              <w:rPr>
                <w:rFonts w:ascii="Arial" w:hAnsi="Arial"/>
                <w:sz w:val="20"/>
              </w:rPr>
              <w:t>Very Low</w:t>
            </w:r>
          </w:p>
        </w:tc>
        <w:tc>
          <w:tcPr>
            <w:tcW w:type="dxa" w:w="1872"/>
          </w:tcPr>
          <w:p>
            <w:r/>
            <w:r>
              <w:rPr>
                <w:rFonts w:ascii="Arial" w:hAnsi="Arial"/>
                <w:sz w:val="20"/>
              </w:rPr>
              <w:t>Critical</w:t>
            </w:r>
          </w:p>
        </w:tc>
        <w:tc>
          <w:tcPr>
            <w:tcW w:type="dxa" w:w="1872"/>
          </w:tcPr>
          <w:p>
            <w:r/>
            <w:r>
              <w:rPr>
                <w:rFonts w:ascii="Arial" w:hAnsi="Arial"/>
                <w:sz w:val="20"/>
              </w:rPr>
              <w:t>Medium</w:t>
            </w:r>
          </w:p>
        </w:tc>
        <w:tc>
          <w:tcPr>
            <w:tcW w:type="dxa" w:w="1872"/>
          </w:tcPr>
          <w:p>
            <w:r/>
            <w:r>
              <w:rPr>
                <w:rFonts w:ascii="Arial" w:hAnsi="Arial"/>
                <w:sz w:val="20"/>
              </w:rPr>
              <w:t>Firm_id enforced at middleware level on every query</w:t>
            </w:r>
          </w:p>
        </w:tc>
      </w:tr>
      <w:tr>
        <w:tc>
          <w:tcPr>
            <w:tcW w:type="dxa" w:w="1872"/>
            <w:shd w:fill="F0F4FF"/>
          </w:tcPr>
          <w:p>
            <w:r/>
            <w:r>
              <w:rPr>
                <w:rFonts w:ascii="Arial" w:hAnsi="Arial"/>
                <w:sz w:val="20"/>
              </w:rPr>
              <w:t>AI model data exposure</w:t>
            </w:r>
          </w:p>
        </w:tc>
        <w:tc>
          <w:tcPr>
            <w:tcW w:type="dxa" w:w="1872"/>
            <w:shd w:fill="F0F4FF"/>
          </w:tcPr>
          <w:p>
            <w:r/>
            <w:r>
              <w:rPr>
                <w:rFonts w:ascii="Arial" w:hAnsi="Arial"/>
                <w:sz w:val="20"/>
              </w:rPr>
              <w:t>Low</w:t>
            </w:r>
          </w:p>
        </w:tc>
        <w:tc>
          <w:tcPr>
            <w:tcW w:type="dxa" w:w="1872"/>
            <w:shd w:fill="F0F4FF"/>
          </w:tcPr>
          <w:p>
            <w:r/>
            <w:r>
              <w:rPr>
                <w:rFonts w:ascii="Arial" w:hAnsi="Arial"/>
                <w:sz w:val="20"/>
              </w:rPr>
              <w:t>Medium</w:t>
            </w:r>
          </w:p>
        </w:tc>
        <w:tc>
          <w:tcPr>
            <w:tcW w:type="dxa" w:w="1872"/>
            <w:shd w:fill="F0F4FF"/>
          </w:tcPr>
          <w:p>
            <w:r/>
            <w:r>
              <w:rPr>
                <w:rFonts w:ascii="Arial" w:hAnsi="Arial"/>
                <w:sz w:val="20"/>
              </w:rPr>
              <w:t>Low</w:t>
            </w:r>
          </w:p>
        </w:tc>
        <w:tc>
          <w:tcPr>
            <w:tcW w:type="dxa" w:w="1872"/>
            <w:shd w:fill="F0F4FF"/>
          </w:tcPr>
          <w:p>
            <w:r/>
            <w:r>
              <w:rPr>
                <w:rFonts w:ascii="Arial" w:hAnsi="Arial"/>
                <w:sz w:val="20"/>
              </w:rPr>
              <w:t>Only firm profile + regulatory text sent; Anthropic DPA</w:t>
            </w:r>
          </w:p>
        </w:tc>
      </w:tr>
      <w:tr>
        <w:tc>
          <w:tcPr>
            <w:tcW w:type="dxa" w:w="1872"/>
          </w:tcPr>
          <w:p>
            <w:r/>
            <w:r>
              <w:rPr>
                <w:rFonts w:ascii="Arial" w:hAnsi="Arial"/>
                <w:sz w:val="20"/>
              </w:rPr>
              <w:t>Email misdirection</w:t>
            </w:r>
          </w:p>
        </w:tc>
        <w:tc>
          <w:tcPr>
            <w:tcW w:type="dxa" w:w="1872"/>
          </w:tcPr>
          <w:p>
            <w:r/>
            <w:r>
              <w:rPr>
                <w:rFonts w:ascii="Arial" w:hAnsi="Arial"/>
                <w:sz w:val="20"/>
              </w:rPr>
              <w:t>Low</w:t>
            </w:r>
          </w:p>
        </w:tc>
        <w:tc>
          <w:tcPr>
            <w:tcW w:type="dxa" w:w="1872"/>
          </w:tcPr>
          <w:p>
            <w:r/>
            <w:r>
              <w:rPr>
                <w:rFonts w:ascii="Arial" w:hAnsi="Arial"/>
                <w:sz w:val="20"/>
              </w:rPr>
              <w:t>Medium</w:t>
            </w:r>
          </w:p>
        </w:tc>
        <w:tc>
          <w:tcPr>
            <w:tcW w:type="dxa" w:w="1872"/>
          </w:tcPr>
          <w:p>
            <w:r/>
            <w:r>
              <w:rPr>
                <w:rFonts w:ascii="Arial" w:hAnsi="Arial"/>
                <w:sz w:val="20"/>
              </w:rPr>
              <w:t>Low</w:t>
            </w:r>
          </w:p>
        </w:tc>
        <w:tc>
          <w:tcPr>
            <w:tcW w:type="dxa" w:w="1872"/>
          </w:tcPr>
          <w:p>
            <w:r/>
            <w:r>
              <w:rPr>
                <w:rFonts w:ascii="Arial" w:hAnsi="Arial"/>
                <w:sz w:val="20"/>
              </w:rPr>
              <w:t>Emails sent only to stored staff email addresses</w:t>
            </w:r>
          </w:p>
        </w:tc>
      </w:tr>
      <w:tr>
        <w:tc>
          <w:tcPr>
            <w:tcW w:type="dxa" w:w="1872"/>
            <w:shd w:fill="F0F4FF"/>
          </w:tcPr>
          <w:p>
            <w:r/>
            <w:r>
              <w:rPr>
                <w:rFonts w:ascii="Arial" w:hAnsi="Arial"/>
                <w:sz w:val="20"/>
              </w:rPr>
              <w:t>Insider threat</w:t>
            </w:r>
          </w:p>
        </w:tc>
        <w:tc>
          <w:tcPr>
            <w:tcW w:type="dxa" w:w="1872"/>
            <w:shd w:fill="F0F4FF"/>
          </w:tcPr>
          <w:p>
            <w:r/>
            <w:r>
              <w:rPr>
                <w:rFonts w:ascii="Arial" w:hAnsi="Arial"/>
                <w:sz w:val="20"/>
              </w:rPr>
              <w:t>Low</w:t>
            </w:r>
          </w:p>
        </w:tc>
        <w:tc>
          <w:tcPr>
            <w:tcW w:type="dxa" w:w="1872"/>
            <w:shd w:fill="F0F4FF"/>
          </w:tcPr>
          <w:p>
            <w:r/>
            <w:r>
              <w:rPr>
                <w:rFonts w:ascii="Arial" w:hAnsi="Arial"/>
                <w:sz w:val="20"/>
              </w:rPr>
              <w:t>High</w:t>
            </w:r>
          </w:p>
        </w:tc>
        <w:tc>
          <w:tcPr>
            <w:tcW w:type="dxa" w:w="1872"/>
            <w:shd w:fill="F0F4FF"/>
          </w:tcPr>
          <w:p>
            <w:r/>
            <w:r>
              <w:rPr>
                <w:rFonts w:ascii="Arial" w:hAnsi="Arial"/>
                <w:sz w:val="20"/>
              </w:rPr>
              <w:t>Medium</w:t>
            </w:r>
          </w:p>
        </w:tc>
        <w:tc>
          <w:tcPr>
            <w:tcW w:type="dxa" w:w="1872"/>
            <w:shd w:fill="F0F4FF"/>
          </w:tcPr>
          <w:p>
            <w:r/>
            <w:r>
              <w:rPr>
                <w:rFonts w:ascii="Arial" w:hAnsi="Arial"/>
                <w:sz w:val="20"/>
              </w:rPr>
              <w:t>Least privilege; audit logging; background checks</w:t>
            </w:r>
          </w:p>
        </w:tc>
      </w:tr>
      <w:tr>
        <w:tc>
          <w:tcPr>
            <w:tcW w:type="dxa" w:w="1872"/>
          </w:tcPr>
          <w:p>
            <w:r/>
            <w:r>
              <w:rPr>
                <w:rFonts w:ascii="Arial" w:hAnsi="Arial"/>
                <w:sz w:val="20"/>
              </w:rPr>
              <w:t>Infrastructure breach</w:t>
            </w:r>
          </w:p>
        </w:tc>
        <w:tc>
          <w:tcPr>
            <w:tcW w:type="dxa" w:w="1872"/>
          </w:tcPr>
          <w:p>
            <w:r/>
            <w:r>
              <w:rPr>
                <w:rFonts w:ascii="Arial" w:hAnsi="Arial"/>
                <w:sz w:val="20"/>
              </w:rPr>
              <w:t>Low</w:t>
            </w:r>
          </w:p>
        </w:tc>
        <w:tc>
          <w:tcPr>
            <w:tcW w:type="dxa" w:w="1872"/>
          </w:tcPr>
          <w:p>
            <w:r/>
            <w:r>
              <w:rPr>
                <w:rFonts w:ascii="Arial" w:hAnsi="Arial"/>
                <w:sz w:val="20"/>
              </w:rPr>
              <w:t>High</w:t>
            </w:r>
          </w:p>
        </w:tc>
        <w:tc>
          <w:tcPr>
            <w:tcW w:type="dxa" w:w="1872"/>
          </w:tcPr>
          <w:p>
            <w:r/>
            <w:r>
              <w:rPr>
                <w:rFonts w:ascii="Arial" w:hAnsi="Arial"/>
                <w:sz w:val="20"/>
              </w:rPr>
              <w:t>Medium</w:t>
            </w:r>
          </w:p>
        </w:tc>
        <w:tc>
          <w:tcPr>
            <w:tcW w:type="dxa" w:w="1872"/>
          </w:tcPr>
          <w:p>
            <w:r/>
            <w:r>
              <w:rPr>
                <w:rFonts w:ascii="Arial" w:hAnsi="Arial"/>
                <w:sz w:val="20"/>
              </w:rPr>
              <w:t>Encrypted at rest/transit; regular patching</w:t>
            </w:r>
          </w:p>
        </w:tc>
      </w:tr>
      <w:tr>
        <w:tc>
          <w:tcPr>
            <w:tcW w:type="dxa" w:w="1872"/>
            <w:shd w:fill="F0F4FF"/>
          </w:tcPr>
          <w:p>
            <w:r/>
            <w:r>
              <w:rPr>
                <w:rFonts w:ascii="Arial" w:hAnsi="Arial"/>
                <w:sz w:val="20"/>
              </w:rPr>
              <w:t>Excessive retention</w:t>
            </w:r>
          </w:p>
        </w:tc>
        <w:tc>
          <w:tcPr>
            <w:tcW w:type="dxa" w:w="1872"/>
            <w:shd w:fill="F0F4FF"/>
          </w:tcPr>
          <w:p>
            <w:r/>
            <w:r>
              <w:rPr>
                <w:rFonts w:ascii="Arial" w:hAnsi="Arial"/>
                <w:sz w:val="20"/>
              </w:rPr>
              <w:t>Medium</w:t>
            </w:r>
          </w:p>
        </w:tc>
        <w:tc>
          <w:tcPr>
            <w:tcW w:type="dxa" w:w="1872"/>
            <w:shd w:fill="F0F4FF"/>
          </w:tcPr>
          <w:p>
            <w:r/>
            <w:r>
              <w:rPr>
                <w:rFonts w:ascii="Arial" w:hAnsi="Arial"/>
                <w:sz w:val="20"/>
              </w:rPr>
              <w:t>Medium</w:t>
            </w:r>
          </w:p>
        </w:tc>
        <w:tc>
          <w:tcPr>
            <w:tcW w:type="dxa" w:w="1872"/>
            <w:shd w:fill="F0F4FF"/>
          </w:tcPr>
          <w:p>
            <w:r/>
            <w:r>
              <w:rPr>
                <w:rFonts w:ascii="Arial" w:hAnsi="Arial"/>
                <w:sz w:val="20"/>
              </w:rPr>
              <w:t>Medium</w:t>
            </w:r>
          </w:p>
        </w:tc>
        <w:tc>
          <w:tcPr>
            <w:tcW w:type="dxa" w:w="1872"/>
            <w:shd w:fill="F0F4FF"/>
          </w:tcPr>
          <w:p>
            <w:r/>
            <w:r>
              <w:rPr>
                <w:rFonts w:ascii="Arial" w:hAnsi="Arial"/>
                <w:sz w:val="20"/>
              </w:rPr>
              <w:t>Retention policy enforced; automated deletion</w:t>
            </w:r>
          </w:p>
        </w:tc>
      </w:tr>
      <w:tr>
        <w:tc>
          <w:tcPr>
            <w:tcW w:type="dxa" w:w="1872"/>
          </w:tcPr>
          <w:p>
            <w:r/>
            <w:r>
              <w:rPr>
                <w:rFonts w:ascii="Arial" w:hAnsi="Arial"/>
                <w:sz w:val="20"/>
              </w:rPr>
              <w:t>Staff surveillance concerns</w:t>
            </w:r>
          </w:p>
        </w:tc>
        <w:tc>
          <w:tcPr>
            <w:tcW w:type="dxa" w:w="1872"/>
          </w:tcPr>
          <w:p>
            <w:r/>
            <w:r>
              <w:rPr>
                <w:rFonts w:ascii="Arial" w:hAnsi="Arial"/>
                <w:sz w:val="20"/>
              </w:rPr>
              <w:t>Medium</w:t>
            </w:r>
          </w:p>
        </w:tc>
        <w:tc>
          <w:tcPr>
            <w:tcW w:type="dxa" w:w="1872"/>
          </w:tcPr>
          <w:p>
            <w:r/>
            <w:r>
              <w:rPr>
                <w:rFonts w:ascii="Arial" w:hAnsi="Arial"/>
                <w:sz w:val="20"/>
              </w:rPr>
              <w:t>Medium</w:t>
            </w:r>
          </w:p>
        </w:tc>
        <w:tc>
          <w:tcPr>
            <w:tcW w:type="dxa" w:w="1872"/>
          </w:tcPr>
          <w:p>
            <w:r/>
            <w:r>
              <w:rPr>
                <w:rFonts w:ascii="Arial" w:hAnsi="Arial"/>
                <w:sz w:val="20"/>
              </w:rPr>
              <w:t>Medium</w:t>
            </w:r>
          </w:p>
        </w:tc>
        <w:tc>
          <w:tcPr>
            <w:tcW w:type="dxa" w:w="1872"/>
          </w:tcPr>
          <w:p>
            <w:r/>
            <w:r>
              <w:rPr>
                <w:rFonts w:ascii="Arial" w:hAnsi="Arial"/>
                <w:sz w:val="20"/>
              </w:rPr>
              <w:t>Firms control tracking; staff portal transparency</w:t>
            </w:r>
          </w:p>
        </w:tc>
      </w:tr>
      <w:tr>
        <w:tc>
          <w:tcPr>
            <w:tcW w:type="dxa" w:w="1872"/>
            <w:shd w:fill="F0F4FF"/>
          </w:tcPr>
          <w:p>
            <w:r/>
            <w:r>
              <w:rPr>
                <w:rFonts w:ascii="Arial" w:hAnsi="Arial"/>
                <w:sz w:val="20"/>
              </w:rPr>
              <w:t>Sub-processor breach</w:t>
            </w:r>
          </w:p>
        </w:tc>
        <w:tc>
          <w:tcPr>
            <w:tcW w:type="dxa" w:w="1872"/>
            <w:shd w:fill="F0F4FF"/>
          </w:tcPr>
          <w:p>
            <w:r/>
            <w:r>
              <w:rPr>
                <w:rFonts w:ascii="Arial" w:hAnsi="Arial"/>
                <w:sz w:val="20"/>
              </w:rPr>
              <w:t>Low</w:t>
            </w:r>
          </w:p>
        </w:tc>
        <w:tc>
          <w:tcPr>
            <w:tcW w:type="dxa" w:w="1872"/>
            <w:shd w:fill="F0F4FF"/>
          </w:tcPr>
          <w:p>
            <w:r/>
            <w:r>
              <w:rPr>
                <w:rFonts w:ascii="Arial" w:hAnsi="Arial"/>
                <w:sz w:val="20"/>
              </w:rPr>
              <w:t>High</w:t>
            </w:r>
          </w:p>
        </w:tc>
        <w:tc>
          <w:tcPr>
            <w:tcW w:type="dxa" w:w="1872"/>
            <w:shd w:fill="F0F4FF"/>
          </w:tcPr>
          <w:p>
            <w:r/>
            <w:r>
              <w:rPr>
                <w:rFonts w:ascii="Arial" w:hAnsi="Arial"/>
                <w:sz w:val="20"/>
              </w:rPr>
              <w:t>Medium</w:t>
            </w:r>
          </w:p>
        </w:tc>
        <w:tc>
          <w:tcPr>
            <w:tcW w:type="dxa" w:w="1872"/>
            <w:shd w:fill="F0F4FF"/>
          </w:tcPr>
          <w:p>
            <w:r/>
            <w:r>
              <w:rPr>
                <w:rFonts w:ascii="Arial" w:hAnsi="Arial"/>
                <w:sz w:val="20"/>
              </w:rPr>
              <w:t>DPAs with all sub-processors; due diligence</w:t>
            </w:r>
          </w:p>
        </w:tc>
      </w:tr>
    </w:tbl>
    <w:p/>
    <w:p>
      <w:pPr>
        <w:pStyle w:val="Heading1"/>
      </w:pPr>
      <w:r>
        <w:t>5. Measures to Mitigate Risks</w:t>
      </w:r>
    </w:p>
    <w:p>
      <w:pPr>
        <w:pStyle w:val="Heading2"/>
      </w:pPr>
      <w:r>
        <w:t>5.1 Technical Measures</w:t>
      </w:r>
    </w:p>
    <w:p>
      <w:pPr>
        <w:pStyle w:val="ListBullet"/>
      </w:pPr>
      <w:r>
        <w:t>Multi-tenant data isolation with firm_id enforcement at middleware level</w:t>
      </w:r>
    </w:p>
    <w:p>
      <w:pPr>
        <w:pStyle w:val="ListBullet"/>
      </w:pPr>
      <w:r>
        <w:t>JWT authentication with 15-minute access token expiry and refresh token rotation</w:t>
      </w:r>
    </w:p>
    <w:p>
      <w:pPr>
        <w:pStyle w:val="ListBullet"/>
      </w:pPr>
      <w:r>
        <w:t>Role-based access control with 5-tier hierarchy (COLP &gt; Partner &gt; Admin &gt; Solicitor &gt; Staff)</w:t>
      </w:r>
    </w:p>
    <w:p>
      <w:pPr>
        <w:pStyle w:val="ListBullet"/>
      </w:pPr>
      <w:r>
        <w:t>Rate limiting: 5/min on login, 100/min on API endpoints</w:t>
      </w:r>
    </w:p>
    <w:p>
      <w:pPr>
        <w:pStyle w:val="ListBullet"/>
      </w:pPr>
      <w:r>
        <w:t>Account lockout after 5 failed login attempts (15-minute lock)</w:t>
      </w:r>
    </w:p>
    <w:p>
      <w:pPr>
        <w:pStyle w:val="ListBullet"/>
      </w:pPr>
      <w:r>
        <w:t>TLS 1.2+ for all data in transit; AES-256 encryption at rest</w:t>
      </w:r>
    </w:p>
    <w:p>
      <w:pPr>
        <w:pStyle w:val="ListBullet"/>
      </w:pPr>
      <w:r>
        <w:t>Password hashing with bcrypt (cost factor 12)</w:t>
      </w:r>
    </w:p>
    <w:p>
      <w:pPr>
        <w:pStyle w:val="ListBullet"/>
      </w:pPr>
      <w:r>
        <w:t>Security headers: HSTS, X-Frame-Options DENY, CSP, X-Content-Type-Options</w:t>
      </w:r>
    </w:p>
    <w:p>
      <w:pPr>
        <w:pStyle w:val="Heading2"/>
      </w:pPr>
      <w:r>
        <w:t>5.2 Organisational Measures</w:t>
      </w:r>
    </w:p>
    <w:p>
      <w:pPr>
        <w:pStyle w:val="ListBullet"/>
      </w:pPr>
      <w:r>
        <w:t>Data Processing Agreements with all sub-processors</w:t>
      </w:r>
    </w:p>
    <w:p>
      <w:pPr>
        <w:pStyle w:val="ListBullet"/>
      </w:pPr>
      <w:r>
        <w:t>Staff confidentiality obligations and security training</w:t>
      </w:r>
    </w:p>
    <w:p>
      <w:pPr>
        <w:pStyle w:val="ListBullet"/>
      </w:pPr>
      <w:r>
        <w:t>Incident response plan with 24-hour breach notification to controllers</w:t>
      </w:r>
    </w:p>
    <w:p>
      <w:pPr>
        <w:pStyle w:val="ListBullet"/>
      </w:pPr>
      <w:r>
        <w:t>Regular security assessments and penetration testing</w:t>
      </w:r>
    </w:p>
    <w:p>
      <w:pPr>
        <w:pStyle w:val="ListBullet"/>
      </w:pPr>
      <w:r>
        <w:t>Data retention policy with automated enforcement</w:t>
      </w:r>
    </w:p>
    <w:p>
      <w:pPr>
        <w:pStyle w:val="ListBullet"/>
      </w:pPr>
      <w:r>
        <w:t>Privacy by design: minimal data collection, purpose limitation</w:t>
      </w:r>
    </w:p>
    <w:p>
      <w:pPr>
        <w:pStyle w:val="Heading1"/>
      </w:pPr>
      <w:r>
        <w:t>6. Conclusion</w:t>
      </w:r>
    </w:p>
    <w:p>
      <w:r>
        <w:t>The risks identified in this DPIA are mitigated to an acceptable level by the technical and organisational measures described above. The residual risks are proportionate to the benefits of the processing, which enables law firms to maintain effective compliance with SRA standards and data protection legislation.</w:t>
      </w:r>
    </w:p>
    <w:p>
      <w:r>
        <w:t>No prior consultation with the ICO is considered necessary at this time.</w:t>
      </w:r>
    </w:p>
    <w:p>
      <w:pPr>
        <w:pStyle w:val="Heading1"/>
      </w:pPr>
      <w:r>
        <w:t>7. Review Schedule</w:t>
      </w:r>
    </w:p>
    <w:p>
      <w:r>
        <w:t>This DPIA will be reviewed annually, when there is a significant change to the processing, or following any personal data breach.</w:t>
      </w:r>
    </w:p>
    <w:p/>
    <w:p>
      <w:r>
        <w:t>Approved by: ____________________</w:t>
      </w:r>
    </w:p>
    <w:p>
      <w:r>
        <w:t>Date: 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Seema AI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A6CF7"/>
        <w:sz w:val="18"/>
      </w:rPr>
      <w:t>SEEMA</w:t>
    </w:r>
    <w:r>
      <w:rPr>
        <w:rFonts w:ascii="Arial" w:hAnsi="Arial"/>
        <w:color w:val="666666"/>
        <w:sz w:val="16"/>
      </w:rPr>
      <w:t xml:space="preserve">  |  DPIA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