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1A2E"/>
          <w:sz w:val="48"/>
        </w:rPr>
        <w:t>Data Processing Agreement</w:t>
      </w:r>
    </w:p>
    <w:p>
      <w:pPr>
        <w:jc w:val="center"/>
      </w:pPr>
      <w:r>
        <w:rPr>
          <w:sz w:val="22"/>
        </w:rPr>
        <w:t>Between Seema AI Ltd ("Processor") and [FIRM NAME] ("Controller")</w:t>
      </w:r>
    </w:p>
    <w:p>
      <w:pPr>
        <w:spacing w:after="480"/>
        <w:jc w:val="center"/>
      </w:pPr>
      <w:r>
        <w:rPr>
          <w:rFonts w:ascii="Arial" w:hAnsi="Arial"/>
          <w:i/>
          <w:color w:val="666666"/>
          <w:sz w:val="20"/>
        </w:rPr>
        <w:t>Effective Date: [DATE]</w:t>
      </w:r>
    </w:p>
    <w:p>
      <w:pPr>
        <w:pStyle w:val="Heading1"/>
      </w:pPr>
      <w:r>
        <w:t>1. Definitions</w:t>
      </w:r>
    </w:p>
    <w:p>
      <w:r>
        <w:t>"Data Protection Laws" means the UK GDPR, the Data Protection Act 2018, and any subordinate legislation and guidance issued by the ICO. "Personal Data", "Processing", "Data Subject", "Controller", and "Processor" have the meanings given in the UK GDPR.</w:t>
      </w:r>
    </w:p>
    <w:p>
      <w:pPr>
        <w:pStyle w:val="Heading1"/>
      </w:pPr>
      <w:r>
        <w:t>2. Scope and Purpose</w:t>
      </w:r>
    </w:p>
    <w:p>
      <w:r>
        <w:t>This Agreement sets out the terms on which the Processor will process personal data on behalf of the Controller in connection with the Seema compliance platform. The Processor shall process personal data only for the purposes of providing the services described in the main subscription agreement.</w:t>
      </w:r>
    </w:p>
    <w:p>
      <w:pPr>
        <w:pStyle w:val="Heading2"/>
      </w:pPr>
      <w:r>
        <w:t>2.1 Subject Matter and Duration</w:t>
      </w:r>
    </w:p>
    <w:p>
      <w:r>
        <w:t>The subject matter of processing is the provision of compliance management, regulatory monitoring, staff training tracking, client due diligence management, and related services. Processing will continue for the duration of the subscription agreement.</w:t>
      </w:r>
    </w:p>
    <w:p>
      <w:pPr>
        <w:pStyle w:val="Heading2"/>
      </w:pPr>
      <w:r>
        <w:t>2.2 Categories of Data Subjects</w:t>
      </w:r>
    </w:p>
    <w:p>
      <w:pPr>
        <w:pStyle w:val="ListBullet"/>
      </w:pPr>
      <w:r>
        <w:t>Staff members and employees of the Controller</w:t>
      </w:r>
    </w:p>
    <w:p>
      <w:pPr>
        <w:pStyle w:val="ListBullet"/>
      </w:pPr>
      <w:r>
        <w:t>Clients of the Controller (limited to intake/CDD data)</w:t>
      </w:r>
    </w:p>
    <w:p>
      <w:pPr>
        <w:pStyle w:val="ListBullet"/>
      </w:pPr>
      <w:r>
        <w:t>Authorised users of the platform</w:t>
      </w:r>
    </w:p>
    <w:p>
      <w:pPr>
        <w:pStyle w:val="Heading2"/>
      </w:pPr>
      <w:r>
        <w:t>2.3 Types of Personal Data</w:t>
      </w:r>
    </w:p>
    <w:p>
      <w:pPr>
        <w:pStyle w:val="ListBullet"/>
      </w:pPr>
      <w:r>
        <w:t>Contact details (names, email addresses, telephone numbers)</w:t>
      </w:r>
    </w:p>
    <w:p>
      <w:pPr>
        <w:pStyle w:val="ListBullet"/>
      </w:pPr>
      <w:r>
        <w:t>Professional information (role, PQE, department, supervisor)</w:t>
      </w:r>
    </w:p>
    <w:p>
      <w:pPr>
        <w:pStyle w:val="ListBullet"/>
      </w:pPr>
      <w:r>
        <w:t>Training and CPD records</w:t>
      </w:r>
    </w:p>
    <w:p>
      <w:pPr>
        <w:pStyle w:val="ListBullet"/>
      </w:pPr>
      <w:r>
        <w:t>Client risk assessment data (including PEP status, source of funds)</w:t>
      </w:r>
    </w:p>
    <w:p>
      <w:pPr>
        <w:pStyle w:val="ListBullet"/>
      </w:pPr>
      <w:r>
        <w:t>Compliance records (breach reports, audit trails, remediation plans)</w:t>
      </w:r>
    </w:p>
    <w:p>
      <w:pPr>
        <w:pStyle w:val="ListBullet"/>
      </w:pPr>
      <w:r>
        <w:t>Technical data (IP addresses, login timestamps)</w:t>
      </w:r>
    </w:p>
    <w:p>
      <w:pPr>
        <w:pStyle w:val="Heading1"/>
      </w:pPr>
      <w:r>
        <w:t>3. Processor Obligations</w:t>
      </w:r>
    </w:p>
    <w:p>
      <w:r>
        <w:t>The Processor shall:</w:t>
      </w:r>
    </w:p>
    <w:p>
      <w:r>
        <w:t>1. Process personal data only on documented instructions from the Controller, unless required by law</w:t>
      </w:r>
    </w:p>
    <w:p>
      <w:r>
        <w:t>2. Ensure that persons authorised to process personal data are subject to confidentiality obligations</w:t>
      </w:r>
    </w:p>
    <w:p>
      <w:r>
        <w:t>3. Implement appropriate technical and organisational measures to ensure security of processing</w:t>
      </w:r>
    </w:p>
    <w:p>
      <w:r>
        <w:t>4. Not engage another processor without prior written authorisation of the Controller</w:t>
      </w:r>
    </w:p>
    <w:p>
      <w:r>
        <w:t>5. Assist the Controller in responding to Data Subject rights requests</w:t>
      </w:r>
    </w:p>
    <w:p>
      <w:r>
        <w:t>6. Assist the Controller in ensuring compliance with Articles 32-36 of the UK GDPR</w:t>
      </w:r>
    </w:p>
    <w:p>
      <w:r>
        <w:t>7. Delete or return all personal data at the end of the provision of services, at the Controller’s choice</w:t>
      </w:r>
    </w:p>
    <w:p>
      <w:r>
        <w:t>8. Make available to the Controller all information necessary to demonstrate compliance with this Agreement</w:t>
      </w:r>
    </w:p>
    <w:p>
      <w:pPr>
        <w:pStyle w:val="Heading1"/>
      </w:pPr>
      <w:r>
        <w:t>4. Sub-Processors</w:t>
      </w:r>
    </w:p>
    <w:p>
      <w:r>
        <w:t>The Controller provides general written authorisation for the Processor to engage the following sub-processors: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A1A2E"/>
          </w:tcPr>
          <w:p>
            <w:r/>
            <w:r>
              <w:rPr>
                <w:rFonts w:ascii="Arial" w:hAnsi="Arial"/>
                <w:b/>
                <w:color w:val="FFFFFF"/>
                <w:sz w:val="20"/>
              </w:rPr>
              <w:t>Sub-Processor</w:t>
            </w:r>
          </w:p>
        </w:tc>
        <w:tc>
          <w:tcPr>
            <w:tcW w:type="dxa" w:w="2340"/>
            <w:shd w:fill="1A1A2E"/>
          </w:tcPr>
          <w:p>
            <w:r/>
            <w:r>
              <w:rPr>
                <w:rFonts w:ascii="Arial" w:hAnsi="Arial"/>
                <w:b/>
                <w:color w:val="FFFFFF"/>
                <w:sz w:val="20"/>
              </w:rPr>
              <w:t>Purpose</w:t>
            </w:r>
          </w:p>
        </w:tc>
        <w:tc>
          <w:tcPr>
            <w:tcW w:type="dxa" w:w="2340"/>
            <w:shd w:fill="1A1A2E"/>
          </w:tcPr>
          <w:p>
            <w:r/>
            <w:r>
              <w:rPr>
                <w:rFonts w:ascii="Arial" w:hAnsi="Arial"/>
                <w:b/>
                <w:color w:val="FFFFFF"/>
                <w:sz w:val="20"/>
              </w:rPr>
              <w:t>Location</w:t>
            </w:r>
          </w:p>
        </w:tc>
        <w:tc>
          <w:tcPr>
            <w:tcW w:type="dxa" w:w="2340"/>
            <w:shd w:fill="1A1A2E"/>
          </w:tcPr>
          <w:p>
            <w:r/>
            <w:r>
              <w:rPr>
                <w:rFonts w:ascii="Arial" w:hAnsi="Arial"/>
                <w:b/>
                <w:color w:val="FFFFFF"/>
                <w:sz w:val="20"/>
              </w:rPr>
              <w:t>Safeguards</w:t>
            </w:r>
          </w:p>
        </w:tc>
      </w:tr>
      <w:tr>
        <w:tc>
          <w:tcPr>
            <w:tcW w:type="dxa" w:w="2340"/>
            <w:shd w:fill="F0F4FF"/>
          </w:tcPr>
          <w:p>
            <w:r/>
            <w:r>
              <w:rPr>
                <w:rFonts w:ascii="Arial" w:hAnsi="Arial"/>
                <w:sz w:val="20"/>
              </w:rPr>
              <w:t>Anthropic</w:t>
            </w:r>
          </w:p>
        </w:tc>
        <w:tc>
          <w:tcPr>
            <w:tcW w:type="dxa" w:w="2340"/>
            <w:shd w:fill="F0F4FF"/>
          </w:tcPr>
          <w:p>
            <w:r/>
            <w:r>
              <w:rPr>
                <w:rFonts w:ascii="Arial" w:hAnsi="Arial"/>
                <w:sz w:val="20"/>
              </w:rPr>
              <w:t>AI regulatory analysis</w:t>
            </w:r>
          </w:p>
        </w:tc>
        <w:tc>
          <w:tcPr>
            <w:tcW w:type="dxa" w:w="2340"/>
            <w:shd w:fill="F0F4FF"/>
          </w:tcPr>
          <w:p>
            <w:r/>
            <w:r>
              <w:rPr>
                <w:rFonts w:ascii="Arial" w:hAnsi="Arial"/>
                <w:sz w:val="20"/>
              </w:rPr>
              <w:t>USA</w:t>
            </w:r>
          </w:p>
        </w:tc>
        <w:tc>
          <w:tcPr>
            <w:tcW w:type="dxa" w:w="2340"/>
            <w:shd w:fill="F0F4FF"/>
          </w:tcPr>
          <w:p>
            <w:r/>
            <w:r>
              <w:rPr>
                <w:rFonts w:ascii="Arial" w:hAnsi="Arial"/>
                <w:sz w:val="20"/>
              </w:rPr>
              <w:t>SCCs + DPF</w:t>
            </w:r>
          </w:p>
        </w:tc>
      </w:tr>
      <w:tr>
        <w:tc>
          <w:tcPr>
            <w:tcW w:type="dxa" w:w="2340"/>
          </w:tcPr>
          <w:p>
            <w:r/>
            <w:r>
              <w:rPr>
                <w:rFonts w:ascii="Arial" w:hAnsi="Arial"/>
                <w:sz w:val="20"/>
              </w:rPr>
              <w:t>SendGrid (Twilio)</w:t>
            </w:r>
          </w:p>
        </w:tc>
        <w:tc>
          <w:tcPr>
            <w:tcW w:type="dxa" w:w="2340"/>
          </w:tcPr>
          <w:p>
            <w:r/>
            <w:r>
              <w:rPr>
                <w:rFonts w:ascii="Arial" w:hAnsi="Arial"/>
                <w:sz w:val="20"/>
              </w:rPr>
              <w:t>Email delivery</w:t>
            </w:r>
          </w:p>
        </w:tc>
        <w:tc>
          <w:tcPr>
            <w:tcW w:type="dxa" w:w="2340"/>
          </w:tcPr>
          <w:p>
            <w:r/>
            <w:r>
              <w:rPr>
                <w:rFonts w:ascii="Arial" w:hAnsi="Arial"/>
                <w:sz w:val="20"/>
              </w:rPr>
              <w:t>USA</w:t>
            </w:r>
          </w:p>
        </w:tc>
        <w:tc>
          <w:tcPr>
            <w:tcW w:type="dxa" w:w="2340"/>
          </w:tcPr>
          <w:p>
            <w:r/>
            <w:r>
              <w:rPr>
                <w:rFonts w:ascii="Arial" w:hAnsi="Arial"/>
                <w:sz w:val="20"/>
              </w:rPr>
              <w:t>SCCs + DPF</w:t>
            </w:r>
          </w:p>
        </w:tc>
      </w:tr>
      <w:tr>
        <w:tc>
          <w:tcPr>
            <w:tcW w:type="dxa" w:w="2340"/>
            <w:shd w:fill="F0F4FF"/>
          </w:tcPr>
          <w:p>
            <w:r/>
            <w:r>
              <w:rPr>
                <w:rFonts w:ascii="Arial" w:hAnsi="Arial"/>
                <w:sz w:val="20"/>
              </w:rPr>
              <w:t>Stripe</w:t>
            </w:r>
          </w:p>
        </w:tc>
        <w:tc>
          <w:tcPr>
            <w:tcW w:type="dxa" w:w="2340"/>
            <w:shd w:fill="F0F4FF"/>
          </w:tcPr>
          <w:p>
            <w:r/>
            <w:r>
              <w:rPr>
                <w:rFonts w:ascii="Arial" w:hAnsi="Arial"/>
                <w:sz w:val="20"/>
              </w:rPr>
              <w:t>Payment processing</w:t>
            </w:r>
          </w:p>
        </w:tc>
        <w:tc>
          <w:tcPr>
            <w:tcW w:type="dxa" w:w="2340"/>
            <w:shd w:fill="F0F4FF"/>
          </w:tcPr>
          <w:p>
            <w:r/>
            <w:r>
              <w:rPr>
                <w:rFonts w:ascii="Arial" w:hAnsi="Arial"/>
                <w:sz w:val="20"/>
              </w:rPr>
              <w:t>USA</w:t>
            </w:r>
          </w:p>
        </w:tc>
        <w:tc>
          <w:tcPr>
            <w:tcW w:type="dxa" w:w="2340"/>
            <w:shd w:fill="F0F4FF"/>
          </w:tcPr>
          <w:p>
            <w:r/>
            <w:r>
              <w:rPr>
                <w:rFonts w:ascii="Arial" w:hAnsi="Arial"/>
                <w:sz w:val="20"/>
              </w:rPr>
              <w:t>SCCs + DPF</w:t>
            </w:r>
          </w:p>
        </w:tc>
      </w:tr>
      <w:tr>
        <w:tc>
          <w:tcPr>
            <w:tcW w:type="dxa" w:w="2340"/>
          </w:tcPr>
          <w:p>
            <w:r/>
            <w:r>
              <w:rPr>
                <w:rFonts w:ascii="Arial" w:hAnsi="Arial"/>
                <w:sz w:val="20"/>
              </w:rPr>
              <w:t>VPS Provider</w:t>
            </w:r>
          </w:p>
        </w:tc>
        <w:tc>
          <w:tcPr>
            <w:tcW w:type="dxa" w:w="2340"/>
          </w:tcPr>
          <w:p>
            <w:r/>
            <w:r>
              <w:rPr>
                <w:rFonts w:ascii="Arial" w:hAnsi="Arial"/>
                <w:sz w:val="20"/>
              </w:rPr>
              <w:t>Infrastructure hosting</w:t>
            </w:r>
          </w:p>
        </w:tc>
        <w:tc>
          <w:tcPr>
            <w:tcW w:type="dxa" w:w="2340"/>
          </w:tcPr>
          <w:p>
            <w:r/>
            <w:r>
              <w:rPr>
                <w:rFonts w:ascii="Arial" w:hAnsi="Arial"/>
                <w:sz w:val="20"/>
              </w:rPr>
              <w:t>UK/EU</w:t>
            </w:r>
          </w:p>
        </w:tc>
        <w:tc>
          <w:tcPr>
            <w:tcW w:type="dxa" w:w="2340"/>
          </w:tcPr>
          <w:p>
            <w:r/>
            <w:r>
              <w:rPr>
                <w:rFonts w:ascii="Arial" w:hAnsi="Arial"/>
                <w:sz w:val="20"/>
              </w:rPr>
              <w:t>UK adequacy</w:t>
            </w:r>
          </w:p>
        </w:tc>
      </w:tr>
    </w:tbl>
    <w:p/>
    <w:p>
      <w:r>
        <w:t>The Processor shall notify the Controller of any intended changes to sub-processors, giving the Controller the opportunity to object.</w:t>
      </w:r>
    </w:p>
    <w:p>
      <w:pPr>
        <w:pStyle w:val="Heading1"/>
      </w:pPr>
      <w:r>
        <w:t>5. International Transfers</w:t>
      </w:r>
    </w:p>
    <w:p>
      <w:r>
        <w:t>Where personal data is transferred outside the UK, the Processor shall ensure that appropriate safeguards are in place in accordance with Chapter V of the UK GDPR, including Standard Contractual Clauses approved by the ICO and/or reliance on the UK Extension to the EU-US Data Privacy Framework.</w:t>
      </w:r>
    </w:p>
    <w:p>
      <w:pPr>
        <w:pStyle w:val="Heading1"/>
      </w:pPr>
      <w:r>
        <w:t>6. Security Measures</w:t>
      </w:r>
    </w:p>
    <w:p>
      <w:r>
        <w:t>The Processor implements the following technical and organisational measures:</w:t>
      </w:r>
    </w:p>
    <w:p>
      <w:pPr>
        <w:pStyle w:val="ListBullet"/>
      </w:pPr>
      <w:r>
        <w:t>Encryption of data in transit (TLS 1.2+) and at rest (AES-256)</w:t>
      </w:r>
    </w:p>
    <w:p>
      <w:pPr>
        <w:pStyle w:val="ListBullet"/>
      </w:pPr>
      <w:r>
        <w:t>Multi-tenant architecture with firm-level data isolation</w:t>
      </w:r>
    </w:p>
    <w:p>
      <w:pPr>
        <w:pStyle w:val="ListBullet"/>
      </w:pPr>
      <w:r>
        <w:t>Role-based access control with principle of least privilege</w:t>
      </w:r>
    </w:p>
    <w:p>
      <w:pPr>
        <w:pStyle w:val="ListBullet"/>
      </w:pPr>
      <w:r>
        <w:t>Regular automated backups with encryption</w:t>
      </w:r>
    </w:p>
    <w:p>
      <w:pPr>
        <w:pStyle w:val="ListBullet"/>
      </w:pPr>
      <w:r>
        <w:t>Intrusion detection and monitoring</w:t>
      </w:r>
    </w:p>
    <w:p>
      <w:pPr>
        <w:pStyle w:val="ListBullet"/>
      </w:pPr>
      <w:r>
        <w:t>Incident response procedures (see Section 7)</w:t>
      </w:r>
    </w:p>
    <w:p>
      <w:pPr>
        <w:pStyle w:val="ListBullet"/>
      </w:pPr>
      <w:r>
        <w:t>Staff background checks and security training</w:t>
      </w:r>
    </w:p>
    <w:p>
      <w:pPr>
        <w:pStyle w:val="ListBullet"/>
      </w:pPr>
      <w:r>
        <w:t>Regular vulnerability scanning and security assessments</w:t>
      </w:r>
    </w:p>
    <w:p>
      <w:pPr>
        <w:pStyle w:val="Heading1"/>
      </w:pPr>
      <w:r>
        <w:t>7. Personal Data Breach</w:t>
      </w:r>
    </w:p>
    <w:p>
      <w:r>
        <w:t>The Processor shall notify the Controller without undue delay, and in any event within 24 hours, after becoming aware of a personal data breach. The notification shall include:</w:t>
      </w:r>
    </w:p>
    <w:p>
      <w:pPr>
        <w:pStyle w:val="ListBullet"/>
      </w:pPr>
      <w:r>
        <w:t>The nature of the breach, including categories and approximate numbers of data subjects and records affected</w:t>
      </w:r>
    </w:p>
    <w:p>
      <w:pPr>
        <w:pStyle w:val="ListBullet"/>
      </w:pPr>
      <w:r>
        <w:t>The name and contact details of the data protection point of contact</w:t>
      </w:r>
    </w:p>
    <w:p>
      <w:pPr>
        <w:pStyle w:val="ListBullet"/>
      </w:pPr>
      <w:r>
        <w:t>A description of the likely consequences of the breach</w:t>
      </w:r>
    </w:p>
    <w:p>
      <w:pPr>
        <w:pStyle w:val="ListBullet"/>
      </w:pPr>
      <w:r>
        <w:t>A description of measures taken or proposed to address the breach and mitigate its effects</w:t>
      </w:r>
    </w:p>
    <w:p>
      <w:pPr>
        <w:pStyle w:val="Heading1"/>
      </w:pPr>
      <w:r>
        <w:t>8. Data Subject Rights</w:t>
      </w:r>
    </w:p>
    <w:p>
      <w:r>
        <w:t>The Processor shall assist the Controller in fulfilling its obligations to respond to Data Subject rights requests. The Processor provides the following capabilities through the platform:</w:t>
      </w:r>
    </w:p>
    <w:p>
      <w:pPr>
        <w:pStyle w:val="ListBullet"/>
      </w:pPr>
      <w:r>
        <w:t>Data export functionality for Subject Access Requests</w:t>
      </w:r>
    </w:p>
    <w:p>
      <w:pPr>
        <w:pStyle w:val="ListBullet"/>
      </w:pPr>
      <w:r>
        <w:t>Data rectification tools for correcting inaccurate records</w:t>
      </w:r>
    </w:p>
    <w:p>
      <w:pPr>
        <w:pStyle w:val="ListBullet"/>
      </w:pPr>
      <w:r>
        <w:t>Data deletion functionality (subject to legal retention requirements)</w:t>
      </w:r>
    </w:p>
    <w:p>
      <w:pPr>
        <w:pStyle w:val="ListBullet"/>
      </w:pPr>
      <w:r>
        <w:t>Audit trail of all data processing activities</w:t>
      </w:r>
    </w:p>
    <w:p>
      <w:pPr>
        <w:pStyle w:val="Heading1"/>
      </w:pPr>
      <w:r>
        <w:t>9. Data Protection Impact Assessment</w:t>
      </w:r>
    </w:p>
    <w:p>
      <w:r>
        <w:t>The Processor shall assist the Controller in carrying out Data Protection Impact Assessments and prior consultations with the ICO where required, taking into account the nature of processing and the information available to the Processor.</w:t>
      </w:r>
    </w:p>
    <w:p>
      <w:pPr>
        <w:pStyle w:val="Heading1"/>
      </w:pPr>
      <w:r>
        <w:t>10. Audit Rights</w:t>
      </w:r>
    </w:p>
    <w:p>
      <w:r>
        <w:t>The Processor shall allow and contribute to audits and inspections conducted by the Controller or an auditor mandated by the Controller. The Processor shall provide the Controller with all information reasonably necessary to demonstrate compliance with this Agreement and the UK GDPR. Audits shall be conducted with reasonable notice and during normal business hours.</w:t>
      </w:r>
    </w:p>
    <w:p>
      <w:pPr>
        <w:pStyle w:val="Heading1"/>
      </w:pPr>
      <w:r>
        <w:t>11. Term and Termination</w:t>
      </w:r>
    </w:p>
    <w:p>
      <w:r>
        <w:t>This Agreement shall remain in effect for the duration of the subscription agreement. Upon termination, the Processor shall, at the Controller’s election, delete or return all personal data within 30 days, and certify in writing that it has done so.</w:t>
      </w:r>
    </w:p>
    <w:p>
      <w:pPr>
        <w:pStyle w:val="Heading1"/>
      </w:pPr>
      <w:r>
        <w:t>12. Governing Law</w:t>
      </w:r>
    </w:p>
    <w:p>
      <w:r>
        <w:t>This Agreement shall be governed by the laws of England and Wales. The parties submit to the exclusive jurisdiction of the courts of England and Wales.</w:t>
      </w:r>
    </w:p>
    <w:p/>
    <w:p>
      <w:r>
        <w:t>SIGNED by the parties on the date first written above.</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A1A2E"/>
          </w:tcPr>
          <w:p>
            <w:r/>
            <w:r>
              <w:rPr>
                <w:rFonts w:ascii="Arial" w:hAnsi="Arial"/>
                <w:b/>
                <w:color w:val="FFFFFF"/>
                <w:sz w:val="20"/>
              </w:rPr>
              <w:t>For the Controller</w:t>
            </w:r>
          </w:p>
        </w:tc>
        <w:tc>
          <w:tcPr>
            <w:tcW w:type="dxa" w:w="4680"/>
            <w:shd w:fill="1A1A2E"/>
          </w:tcPr>
          <w:p>
            <w:r/>
            <w:r>
              <w:rPr>
                <w:rFonts w:ascii="Arial" w:hAnsi="Arial"/>
                <w:b/>
                <w:color w:val="FFFFFF"/>
                <w:sz w:val="20"/>
              </w:rPr>
              <w:t>For the Processor</w:t>
            </w:r>
          </w:p>
        </w:tc>
      </w:tr>
      <w:tr>
        <w:tc>
          <w:tcPr>
            <w:tcW w:type="dxa" w:w="4680"/>
            <w:shd w:fill="F0F4FF"/>
          </w:tcPr>
          <w:p>
            <w:r/>
            <w:r>
              <w:rPr>
                <w:rFonts w:ascii="Arial" w:hAnsi="Arial"/>
                <w:sz w:val="20"/>
              </w:rPr>
              <w:t>Signed: ____________________</w:t>
            </w:r>
          </w:p>
        </w:tc>
        <w:tc>
          <w:tcPr>
            <w:tcW w:type="dxa" w:w="4680"/>
            <w:shd w:fill="F0F4FF"/>
          </w:tcPr>
          <w:p>
            <w:r/>
            <w:r>
              <w:rPr>
                <w:rFonts w:ascii="Arial" w:hAnsi="Arial"/>
                <w:sz w:val="20"/>
              </w:rPr>
              <w:t>Signed: ____________________</w:t>
            </w:r>
          </w:p>
        </w:tc>
      </w:tr>
      <w:tr>
        <w:tc>
          <w:tcPr>
            <w:tcW w:type="dxa" w:w="4680"/>
          </w:tcPr>
          <w:p>
            <w:r/>
            <w:r>
              <w:rPr>
                <w:rFonts w:ascii="Arial" w:hAnsi="Arial"/>
                <w:sz w:val="20"/>
              </w:rPr>
              <w:t>Name: ____________________</w:t>
            </w:r>
          </w:p>
        </w:tc>
        <w:tc>
          <w:tcPr>
            <w:tcW w:type="dxa" w:w="4680"/>
          </w:tcPr>
          <w:p>
            <w:r/>
            <w:r>
              <w:rPr>
                <w:rFonts w:ascii="Arial" w:hAnsi="Arial"/>
                <w:sz w:val="20"/>
              </w:rPr>
              <w:t>Name: ____________________</w:t>
            </w:r>
          </w:p>
        </w:tc>
      </w:tr>
      <w:tr>
        <w:tc>
          <w:tcPr>
            <w:tcW w:type="dxa" w:w="4680"/>
            <w:shd w:fill="F0F4FF"/>
          </w:tcPr>
          <w:p>
            <w:r/>
            <w:r>
              <w:rPr>
                <w:rFonts w:ascii="Arial" w:hAnsi="Arial"/>
                <w:sz w:val="20"/>
              </w:rPr>
              <w:t>Title: ____________________</w:t>
            </w:r>
          </w:p>
        </w:tc>
        <w:tc>
          <w:tcPr>
            <w:tcW w:type="dxa" w:w="4680"/>
            <w:shd w:fill="F0F4FF"/>
          </w:tcPr>
          <w:p>
            <w:r/>
            <w:r>
              <w:rPr>
                <w:rFonts w:ascii="Arial" w:hAnsi="Arial"/>
                <w:sz w:val="20"/>
              </w:rPr>
              <w:t>Title: ____________________</w:t>
            </w:r>
          </w:p>
        </w:tc>
      </w:tr>
      <w:tr>
        <w:tc>
          <w:tcPr>
            <w:tcW w:type="dxa" w:w="4680"/>
          </w:tcPr>
          <w:p>
            <w:r/>
            <w:r>
              <w:rPr>
                <w:rFonts w:ascii="Arial" w:hAnsi="Arial"/>
                <w:sz w:val="20"/>
              </w:rPr>
              <w:t>Date: ____________________</w:t>
            </w:r>
          </w:p>
        </w:tc>
        <w:tc>
          <w:tcPr>
            <w:tcW w:type="dxa" w:w="4680"/>
          </w:tcPr>
          <w:p>
            <w:r/>
            <w:r>
              <w:rPr>
                <w:rFonts w:ascii="Arial" w:hAnsi="Arial"/>
                <w:sz w:val="20"/>
              </w:rPr>
              <w:t>Date: ____________________</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Seema AI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A6CF7"/>
        <w:sz w:val="18"/>
      </w:rPr>
      <w:t>SEEMA</w:t>
    </w:r>
    <w:r>
      <w:rPr>
        <w:rFonts w:ascii="Arial" w:hAnsi="Arial"/>
        <w:color w:val="666666"/>
        <w:sz w:val="16"/>
      </w:rPr>
      <w:t xml:space="preserve">  |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