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1A2E"/>
          <w:sz w:val="48"/>
        </w:rPr>
        <w:t>Record of Processing Activities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0"/>
        </w:rPr>
        <w:t>Article 30 UK GDPR  |  Seema AI Ltd (Processor)  |  Version 1.0  |  [DATE]</w:t>
      </w:r>
    </w:p>
    <w:p>
      <w:pPr>
        <w:pStyle w:val="Heading1"/>
      </w:pPr>
      <w:r>
        <w:t>1. Processor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Organisation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Seema AI Ltd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Registration number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[COMPANY NUMBER]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Registered address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[ADDRESS]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ICO registration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[ZA NUMBER]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Data Protection contact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privacy@seemaai.co.uk</w:t>
            </w:r>
          </w:p>
        </w:tc>
      </w:tr>
    </w:tbl>
    <w:p/>
    <w:p>
      <w:pPr>
        <w:pStyle w:val="Heading1"/>
      </w:pPr>
      <w:r>
        <w:t>2. Processing Activities</w:t>
      </w:r>
    </w:p>
    <w:p>
      <w:pPr>
        <w:pStyle w:val="Heading2"/>
      </w:pPr>
      <w:r>
        <w:t>Activity 1: Compliance Platform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Controller(s)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Each subscribing SRA-regulated law firm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Categories of processing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Collection, storage, retrieval, analysis, automated monitoring, email notification, reporting, AI analysis, deletion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Categories of data subjects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Law firm staff/employees, law firm clients (CDD data only), platform users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Categories of personal data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Names, emails, professional details, training records, supervision records, client risk assessments, breach reports, audit trail data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Special category data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None processed systematically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Transfers outside UK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USA (Anthropic, SendGrid, Stripe). Safeguards: SCCs, DPF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Retention periods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Default: duration + 6 years (SRA). CDD: duration + 5 years (MLR 2017)</w:t>
            </w:r>
          </w:p>
        </w:tc>
      </w:tr>
    </w:tbl>
    <w:p/>
    <w:p>
      <w:pPr>
        <w:pStyle w:val="Heading2"/>
      </w:pPr>
      <w:r>
        <w:t>Activity 2: Regulatory Data Aggregation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Controller(s)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Seema AI Ltd (controller for this activity)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Categories of processing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Collection (scraping), storage, analysis, display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Data subjects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Named individuals in SRA warning notices, ICO enforcement actions (public data)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Lawful basis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Legitimate interest (Art. 6(1)(f))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Transfers outside UK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Retention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Indefinite (public information)</w:t>
            </w:r>
          </w:p>
        </w:tc>
      </w:tr>
    </w:tbl>
    <w:p/>
    <w:p>
      <w:pPr>
        <w:pStyle w:val="Heading2"/>
      </w:pPr>
      <w:r>
        <w:t>Activity 3: Platform Operations and Security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Controller(s)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Seema AI Ltd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Categories of processing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Collection, storage, analysis, automated monitoring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Data subjects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Platform users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Personal data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IP addresses, login timestamps, browser/device info, action logs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Lawful basis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Legitimate interest (Art. 6(1)(f)) — platform security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Retention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12 months</w:t>
            </w:r>
          </w:p>
        </w:tc>
      </w:tr>
    </w:tbl>
    <w:p/>
    <w:p>
      <w:pPr>
        <w:pStyle w:val="Heading1"/>
      </w:pPr>
      <w:r>
        <w:t>3. Technical and Organisational Security Measures (Art. 32)</w:t>
      </w:r>
    </w:p>
    <w:p>
      <w:pPr>
        <w:pStyle w:val="Heading2"/>
      </w:pPr>
      <w:r>
        <w:t>3.1 Encryption</w:t>
      </w:r>
    </w:p>
    <w:p>
      <w:pPr>
        <w:pStyle w:val="ListBullet"/>
      </w:pPr>
      <w:r>
        <w:t>Data in transit: TLS 1.2+ enforced on all connections</w:t>
      </w:r>
    </w:p>
    <w:p>
      <w:pPr>
        <w:pStyle w:val="ListBullet"/>
      </w:pPr>
      <w:r>
        <w:t>Data at rest: AES-256 database encryption, encrypted backups</w:t>
      </w:r>
    </w:p>
    <w:p>
      <w:pPr>
        <w:pStyle w:val="ListBullet"/>
      </w:pPr>
      <w:r>
        <w:t>Passwords: bcrypt hashing with cost factor 12</w:t>
      </w:r>
    </w:p>
    <w:p>
      <w:pPr>
        <w:pStyle w:val="Heading2"/>
      </w:pPr>
      <w:r>
        <w:t>3.2 Access Control</w:t>
      </w:r>
    </w:p>
    <w:p>
      <w:pPr>
        <w:pStyle w:val="ListBullet"/>
      </w:pPr>
      <w:r>
        <w:t>JWT-based authentication with 15-minute token expiry</w:t>
      </w:r>
    </w:p>
    <w:p>
      <w:pPr>
        <w:pStyle w:val="ListBullet"/>
      </w:pPr>
      <w:r>
        <w:t>Role-based access control (5-tier hierarchy)</w:t>
      </w:r>
    </w:p>
    <w:p>
      <w:pPr>
        <w:pStyle w:val="ListBullet"/>
      </w:pPr>
      <w:r>
        <w:t>Multi-tenant isolation via firm_id middleware enforcement</w:t>
      </w:r>
    </w:p>
    <w:p>
      <w:pPr>
        <w:pStyle w:val="ListBullet"/>
      </w:pPr>
      <w:r>
        <w:t>Account lockout after 5 failed attempts</w:t>
      </w:r>
    </w:p>
    <w:p>
      <w:pPr>
        <w:pStyle w:val="ListBullet"/>
      </w:pPr>
      <w:r>
        <w:t>Rate limiting on all API endpoints</w:t>
      </w:r>
    </w:p>
    <w:p>
      <w:pPr>
        <w:pStyle w:val="Heading2"/>
      </w:pPr>
      <w:r>
        <w:t>3.3 Availability and Resilience</w:t>
      </w:r>
    </w:p>
    <w:p>
      <w:pPr>
        <w:pStyle w:val="ListBullet"/>
      </w:pPr>
      <w:r>
        <w:t>Daily automated encrypted backups</w:t>
      </w:r>
    </w:p>
    <w:p>
      <w:pPr>
        <w:pStyle w:val="ListBullet"/>
      </w:pPr>
      <w:r>
        <w:t>Docker-based deployment for rapid recovery</w:t>
      </w:r>
    </w:p>
    <w:p>
      <w:pPr>
        <w:pStyle w:val="ListBullet"/>
      </w:pPr>
      <w:r>
        <w:t>Health monitoring and automated alerts</w:t>
      </w:r>
    </w:p>
    <w:p>
      <w:pPr>
        <w:pStyle w:val="Heading1"/>
      </w:pPr>
      <w:r>
        <w:t>4. Sub-Processors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Processing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Safeguards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Anthropic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AI regulatory analysis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USA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DPA, SCCs, DPF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Twilio SendGrid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Transactional email delivery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USA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DPA, SCCs, DPF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Stripe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Subscription billing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USA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DPA, SCCs, DPF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[VPS Provider]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Infrastructure hosting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DPA, ISO 27001</w:t>
            </w:r>
          </w:p>
        </w:tc>
      </w:tr>
    </w:tbl>
    <w:p/>
    <w:p>
      <w:pPr>
        <w:pStyle w:val="Heading1"/>
      </w:pPr>
      <w:r>
        <w:t>5. Review</w:t>
      </w:r>
    </w:p>
    <w:p>
      <w:r>
        <w:t>This ROPA is reviewed and updated at least annually and whenever there are significant changes to processing activities, sub-processors, or security measures.</w:t>
      </w:r>
    </w:p>
    <w:p/>
    <w:p>
      <w:r>
        <w:t>Last reviewed: [DATE]</w:t>
      </w:r>
    </w:p>
    <w:p>
      <w:r>
        <w:t>Next review: [DATE + 12 months]</w:t>
      </w:r>
    </w:p>
    <w:p>
      <w:r>
        <w:t>Reviewed by: [NAME, 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Seema AI Ltd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6CF7"/>
        <w:sz w:val="18"/>
      </w:rPr>
      <w:t>SEEMA</w:t>
    </w:r>
    <w:r>
      <w:rPr>
        <w:rFonts w:ascii="Arial" w:hAnsi="Arial"/>
        <w:color w:val="666666"/>
        <w:sz w:val="16"/>
      </w:rPr>
      <w:t xml:space="preserve">  |  ROPA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