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i w:val="0"/>
          <w:color w:val="1B2A4A"/>
          <w:sz w:val="72"/>
        </w:rPr>
        <w:t>SEEMA</w:t>
      </w:r>
    </w:p>
    <w:p>
      <w:pPr>
        <w:jc w:val="center"/>
      </w:pPr>
      <w:r>
        <w:rPr>
          <w:rFonts w:ascii="Arial" w:hAnsi="Arial"/>
          <w:b w:val="0"/>
          <w:i w:val="0"/>
          <w:color w:val="0891B2"/>
          <w:sz w:val="44"/>
        </w:rPr>
        <w:t>Live Demo Script</w:t>
      </w:r>
    </w:p>
    <w:p>
      <w:pPr>
        <w:jc w:val="center"/>
      </w:pPr>
      <w:r>
        <w:rPr>
          <w:rFonts w:ascii="Arial" w:hAnsi="Arial"/>
          <w:b w:val="0"/>
          <w:i w:val="0"/>
          <w:color w:val="64748B"/>
          <w:sz w:val="24"/>
        </w:rPr>
        <w:t>Structured around the 5 core compliance workflows</w:t>
      </w:r>
    </w:p>
    <w:p/>
    <w:p>
      <w:pPr>
        <w:jc w:val="center"/>
      </w:pPr>
      <w:r>
        <w:rPr>
          <w:rFonts w:ascii="Arial" w:hAnsi="Arial"/>
          <w:b w:val="0"/>
          <w:i w:val="0"/>
          <w:color w:val="64748B"/>
          <w:sz w:val="20"/>
        </w:rPr>
        <w:t>Duration: 25-30 minutes  |  May 2026  |  v2.0</w:t>
      </w:r>
    </w:p>
    <w:p>
      <w:r>
        <w:br w:type="page"/>
      </w:r>
    </w:p>
    <w:p>
      <w:pPr>
        <w:pStyle w:val="Heading1"/>
      </w:pPr>
      <w:r>
        <w:rPr>
          <w:color w:val="1B2A4A"/>
        </w:rPr>
        <w:t>Demo Structure</w:t>
      </w:r>
    </w:p>
    <w:p>
      <w:r>
        <w:rPr>
          <w:rFonts w:ascii="Arial" w:hAnsi="Arial"/>
          <w:b w:val="0"/>
          <w:i w:val="0"/>
          <w:color w:val="1E293B"/>
          <w:sz w:val="22"/>
        </w:rPr>
        <w:t>This demo is structured around Seema's 5 core compliance workflows. Each workflow gets dedicated time, followed by a brief tour of additional features and the close. The prospect should leave understanding exactly how each workflow solves a specific compliance pain point.</w:t>
      </w:r>
    </w:p>
    <w:p/>
    <w:p>
      <w:r>
        <w:rPr>
          <w:rFonts w:ascii="Arial" w:hAnsi="Arial"/>
          <w:b/>
          <w:i w:val="0"/>
          <w:color w:val="1B2A4A"/>
          <w:sz w:val="22"/>
        </w:rPr>
        <w:t xml:space="preserve">Opening </w:t>
      </w:r>
      <w:r>
        <w:rPr>
          <w:rFonts w:ascii="Arial" w:hAnsi="Arial"/>
          <w:b w:val="0"/>
          <w:i w:val="0"/>
          <w:color w:val="0891B2"/>
          <w:sz w:val="20"/>
        </w:rPr>
        <w:t xml:space="preserve">(2 min) </w:t>
      </w:r>
      <w:r>
        <w:rPr>
          <w:rFonts w:ascii="Arial" w:hAnsi="Arial"/>
          <w:b w:val="0"/>
          <w:i w:val="0"/>
          <w:color w:val="64748B"/>
          <w:sz w:val="20"/>
        </w:rPr>
        <w:t>— Set context, ask about pain points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1. Dashboard </w:t>
      </w:r>
      <w:r>
        <w:rPr>
          <w:rFonts w:ascii="Arial" w:hAnsi="Arial"/>
          <w:b w:val="0"/>
          <w:i w:val="0"/>
          <w:color w:val="0891B2"/>
          <w:sz w:val="20"/>
        </w:rPr>
        <w:t xml:space="preserve">(3 min) </w:t>
      </w:r>
      <w:r>
        <w:rPr>
          <w:rFonts w:ascii="Arial" w:hAnsi="Arial"/>
          <w:b w:val="0"/>
          <w:i w:val="0"/>
          <w:color w:val="64748B"/>
          <w:sz w:val="20"/>
        </w:rPr>
        <w:t>— Compliance command centre, health score, alerts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2. Regulatory Intelligence </w:t>
      </w:r>
      <w:r>
        <w:rPr>
          <w:rFonts w:ascii="Arial" w:hAnsi="Arial"/>
          <w:b w:val="0"/>
          <w:i w:val="0"/>
          <w:color w:val="0891B2"/>
          <w:sz w:val="20"/>
        </w:rPr>
        <w:t xml:space="preserve">(5 min) </w:t>
      </w:r>
      <w:r>
        <w:rPr>
          <w:rFonts w:ascii="Arial" w:hAnsi="Arial"/>
          <w:b w:val="0"/>
          <w:i w:val="0"/>
          <w:color w:val="64748B"/>
          <w:sz w:val="20"/>
        </w:rPr>
        <w:t>— AI monitoring of 5 sources, impact analysis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3. Breach Reporting </w:t>
      </w:r>
      <w:r>
        <w:rPr>
          <w:rFonts w:ascii="Arial" w:hAnsi="Arial"/>
          <w:b w:val="0"/>
          <w:i w:val="0"/>
          <w:color w:val="0891B2"/>
          <w:sz w:val="20"/>
        </w:rPr>
        <w:t xml:space="preserve">(5 min) </w:t>
      </w:r>
      <w:r>
        <w:rPr>
          <w:rFonts w:ascii="Arial" w:hAnsi="Arial"/>
          <w:b w:val="0"/>
          <w:i w:val="0"/>
          <w:color w:val="64748B"/>
          <w:sz w:val="20"/>
        </w:rPr>
        <w:t>— 72h ICO deadlines, AI analysis, COLP alerts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4. SRA Audit Workflow </w:t>
      </w:r>
      <w:r>
        <w:rPr>
          <w:rFonts w:ascii="Arial" w:hAnsi="Arial"/>
          <w:b w:val="0"/>
          <w:i w:val="0"/>
          <w:color w:val="0891B2"/>
          <w:sz w:val="20"/>
        </w:rPr>
        <w:t xml:space="preserve">(4 min) </w:t>
      </w:r>
      <w:r>
        <w:rPr>
          <w:rFonts w:ascii="Arial" w:hAnsi="Arial"/>
          <w:b w:val="0"/>
          <w:i w:val="0"/>
          <w:color w:val="64748B"/>
          <w:sz w:val="20"/>
        </w:rPr>
        <w:t>— Annual return prep, audit trails, inspection readiness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5. Policy Management </w:t>
      </w:r>
      <w:r>
        <w:rPr>
          <w:rFonts w:ascii="Arial" w:hAnsi="Arial"/>
          <w:b w:val="0"/>
          <w:i w:val="0"/>
          <w:color w:val="0891B2"/>
          <w:sz w:val="20"/>
        </w:rPr>
        <w:t xml:space="preserve">(4 min) </w:t>
      </w:r>
      <w:r>
        <w:rPr>
          <w:rFonts w:ascii="Arial" w:hAnsi="Arial"/>
          <w:b w:val="0"/>
          <w:i w:val="0"/>
          <w:color w:val="64748B"/>
          <w:sz w:val="20"/>
        </w:rPr>
        <w:t>— AI generation, review tracking, UK regulatory refs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Additional Features </w:t>
      </w:r>
      <w:r>
        <w:rPr>
          <w:rFonts w:ascii="Arial" w:hAnsi="Arial"/>
          <w:b w:val="0"/>
          <w:i w:val="0"/>
          <w:color w:val="0891B2"/>
          <w:sz w:val="20"/>
        </w:rPr>
        <w:t xml:space="preserve">(2 min) </w:t>
      </w:r>
      <w:r>
        <w:rPr>
          <w:rFonts w:ascii="Arial" w:hAnsi="Arial"/>
          <w:b w:val="0"/>
          <w:i w:val="0"/>
          <w:color w:val="64748B"/>
          <w:sz w:val="20"/>
        </w:rPr>
        <w:t>— Quick flythrough of AML, conflicts, complaints, CPD, risk</w:t>
      </w:r>
    </w:p>
    <w:p>
      <w:r>
        <w:rPr>
          <w:rFonts w:ascii="Arial" w:hAnsi="Arial"/>
          <w:b/>
          <w:i w:val="0"/>
          <w:color w:val="1B2A4A"/>
          <w:sz w:val="22"/>
        </w:rPr>
        <w:t xml:space="preserve">Pricing &amp; Close </w:t>
      </w:r>
      <w:r>
        <w:rPr>
          <w:rFonts w:ascii="Arial" w:hAnsi="Arial"/>
          <w:b w:val="0"/>
          <w:i w:val="0"/>
          <w:color w:val="0891B2"/>
          <w:sz w:val="20"/>
        </w:rPr>
        <w:t xml:space="preserve">(4 min) </w:t>
      </w:r>
      <w:r>
        <w:rPr>
          <w:rFonts w:ascii="Arial" w:hAnsi="Arial"/>
          <w:b w:val="0"/>
          <w:i w:val="0"/>
          <w:color w:val="64748B"/>
          <w:sz w:val="20"/>
        </w:rPr>
        <w:t>— Plans, ROI calculator, trial offer</w:t>
      </w:r>
    </w:p>
    <w:p>
      <w:r>
        <w:br w:type="page"/>
      </w:r>
    </w:p>
    <w:p>
      <w:pPr>
        <w:pStyle w:val="Heading1"/>
      </w:pPr>
      <w:r>
        <w:rPr>
          <w:color w:val="1B2A4A"/>
        </w:rPr>
        <w:t>Pre-Demo Checklist</w:t>
      </w:r>
    </w:p>
    <w:p>
      <w:r>
        <w:rPr>
          <w:rFonts w:ascii="Arial" w:hAnsi="Arial"/>
          <w:b w:val="0"/>
          <w:i w:val="0"/>
          <w:color w:val="0891B2"/>
          <w:sz w:val="22"/>
        </w:rPr>
        <w:t xml:space="preserve">[ ]  </w:t>
      </w:r>
      <w:r>
        <w:rPr>
          <w:rFonts w:ascii="Arial" w:hAnsi="Arial"/>
          <w:b w:val="0"/>
          <w:i w:val="0"/>
          <w:color w:val="1E293B"/>
          <w:sz w:val="22"/>
        </w:rPr>
        <w:t>Log into Seema demo environment (use demo account)</w:t>
      </w:r>
    </w:p>
    <w:p>
      <w:r>
        <w:rPr>
          <w:rFonts w:ascii="Arial" w:hAnsi="Arial"/>
          <w:b w:val="0"/>
          <w:i w:val="0"/>
          <w:color w:val="0891B2"/>
          <w:sz w:val="22"/>
        </w:rPr>
        <w:t xml:space="preserve">[ ]  </w:t>
      </w:r>
      <w:r>
        <w:rPr>
          <w:rFonts w:ascii="Arial" w:hAnsi="Arial"/>
          <w:b w:val="0"/>
          <w:i w:val="0"/>
          <w:color w:val="1E293B"/>
          <w:sz w:val="22"/>
        </w:rPr>
        <w:t>Verify demo data is loaded (breaches, policies, regulatory updates)</w:t>
      </w:r>
    </w:p>
    <w:p>
      <w:r>
        <w:rPr>
          <w:rFonts w:ascii="Arial" w:hAnsi="Arial"/>
          <w:b w:val="0"/>
          <w:i w:val="0"/>
          <w:color w:val="0891B2"/>
          <w:sz w:val="22"/>
        </w:rPr>
        <w:t xml:space="preserve">[ ]  </w:t>
      </w:r>
      <w:r>
        <w:rPr>
          <w:rFonts w:ascii="Arial" w:hAnsi="Arial"/>
          <w:b w:val="0"/>
          <w:i w:val="0"/>
          <w:color w:val="1E293B"/>
          <w:sz w:val="22"/>
        </w:rPr>
        <w:t>Have the prospect's SRA number ready (look up beforehand)</w:t>
      </w:r>
    </w:p>
    <w:p>
      <w:r>
        <w:rPr>
          <w:rFonts w:ascii="Arial" w:hAnsi="Arial"/>
          <w:b w:val="0"/>
          <w:i w:val="0"/>
          <w:color w:val="0891B2"/>
          <w:sz w:val="22"/>
        </w:rPr>
        <w:t xml:space="preserve">[ ]  </w:t>
      </w:r>
      <w:r>
        <w:rPr>
          <w:rFonts w:ascii="Arial" w:hAnsi="Arial"/>
          <w:b w:val="0"/>
          <w:i w:val="0"/>
          <w:color w:val="1E293B"/>
          <w:sz w:val="22"/>
        </w:rPr>
        <w:t>Open Seema dashboard in Chrome with notifications silenced</w:t>
      </w:r>
    </w:p>
    <w:p>
      <w:r>
        <w:rPr>
          <w:rFonts w:ascii="Arial" w:hAnsi="Arial"/>
          <w:b w:val="0"/>
          <w:i w:val="0"/>
          <w:color w:val="0891B2"/>
          <w:sz w:val="22"/>
        </w:rPr>
        <w:t xml:space="preserve">[ ]  </w:t>
      </w:r>
      <w:r>
        <w:rPr>
          <w:rFonts w:ascii="Arial" w:hAnsi="Arial"/>
          <w:b w:val="0"/>
          <w:i w:val="0"/>
          <w:color w:val="1E293B"/>
          <w:sz w:val="22"/>
        </w:rPr>
        <w:t>Have ROI calculator open in a separate tab</w:t>
      </w:r>
    </w:p>
    <w:p>
      <w:r>
        <w:rPr>
          <w:rFonts w:ascii="Arial" w:hAnsi="Arial"/>
          <w:b w:val="0"/>
          <w:i w:val="0"/>
          <w:color w:val="0891B2"/>
          <w:sz w:val="22"/>
        </w:rPr>
        <w:t xml:space="preserve">[ ]  </w:t>
      </w:r>
      <w:r>
        <w:rPr>
          <w:rFonts w:ascii="Arial" w:hAnsi="Arial"/>
          <w:b w:val="0"/>
          <w:i w:val="0"/>
          <w:color w:val="1E293B"/>
          <w:sz w:val="22"/>
        </w:rPr>
        <w:t>Know the prospect's firm size, practice areas, and current compliance setup</w:t>
      </w:r>
    </w:p>
    <w:p>
      <w:r>
        <w:rPr>
          <w:rFonts w:ascii="Arial" w:hAnsi="Arial"/>
          <w:b w:val="0"/>
          <w:i w:val="0"/>
          <w:color w:val="0891B2"/>
          <w:sz w:val="22"/>
        </w:rPr>
        <w:t xml:space="preserve">[ ]  </w:t>
      </w:r>
      <w:r>
        <w:rPr>
          <w:rFonts w:ascii="Arial" w:hAnsi="Arial"/>
          <w:b w:val="0"/>
          <w:i w:val="0"/>
          <w:color w:val="1E293B"/>
          <w:sz w:val="22"/>
        </w:rPr>
        <w:t>Print this script or have it on a second screen</w:t>
      </w:r>
    </w:p>
    <w:p>
      <w:r>
        <w:br w:type="page"/>
      </w:r>
    </w:p>
    <w:p>
      <w:pPr>
        <w:pStyle w:val="Heading2"/>
      </w:pPr>
      <w:r>
        <w:rPr>
          <w:color w:val="0891B2"/>
        </w:rPr>
        <w:t>Opening</w:t>
      </w:r>
    </w:p>
    <w:p>
      <w:r>
        <w:rPr>
          <w:rFonts w:ascii="Arial" w:hAnsi="Arial"/>
          <w:b w:val="0"/>
          <w:i/>
          <w:color w:val="64748B"/>
          <w:sz w:val="20"/>
        </w:rPr>
        <w:t>0:00 - 2:00 (2 min)</w:t>
      </w:r>
    </w:p>
    <w:p>
      <w:r>
        <w:rPr>
          <w:rFonts w:ascii="Arial" w:hAnsi="Arial"/>
          <w:b/>
          <w:i w:val="0"/>
          <w:color w:val="1B2A4A"/>
          <w:sz w:val="22"/>
        </w:rPr>
        <w:t>SAY: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"Thanks for taking the time today. I know compliance is one of those things that takes time away from practising law and serving your clients."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"What I'm going to show you today is Seema's 5 core compliance workflows — Dashboard, Regulatory Intelligence, Breach Reporting, SRA Audit Workflow, and Policy Management. Each one tackles a specific part of your COLP's responsibilities."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"Before I dive in — what's your biggest compliance headache right now?"</w:t>
      </w:r>
    </w:p>
    <w:p>
      <w:r>
        <w:rPr>
          <w:rFonts w:ascii="Arial" w:hAnsi="Arial"/>
          <w:b/>
          <w:i w:val="0"/>
          <w:color w:val="059669"/>
          <w:sz w:val="22"/>
        </w:rPr>
        <w:t>SHOW: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the Seema login page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Log in with demo credentials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Pause — let them absorb the interface</w:t>
      </w:r>
    </w:p>
    <w:p>
      <w:r>
        <w:rPr>
          <w:rFonts w:ascii="Arial" w:hAnsi="Arial"/>
          <w:b/>
          <w:i w:val="0"/>
          <w:color w:val="0891B2"/>
          <w:sz w:val="20"/>
        </w:rPr>
        <w:t xml:space="preserve">TIP: </w:t>
      </w:r>
      <w:r>
        <w:rPr>
          <w:rFonts w:ascii="Arial" w:hAnsi="Arial"/>
          <w:b w:val="0"/>
          <w:i/>
          <w:color w:val="64748B"/>
          <w:sz w:val="20"/>
        </w:rPr>
        <w:t>Listen carefully to their answer. Reference their specific pain point when you reach the relevant workflow.</w:t>
      </w:r>
    </w:p>
    <w:p>
      <w:pPr>
        <w:spacing w:before="40" w:after="40"/>
        <w:pBdr>
          <w:bottom w:val="single" w:sz="4" w:color="E2E8F0" w:space="1"/>
        </w:pBdr>
      </w:pPr>
    </w:p>
    <w:p>
      <w:pPr>
        <w:pStyle w:val="Heading2"/>
      </w:pPr>
      <w:r>
        <w:rPr>
          <w:color w:val="0891B2"/>
        </w:rPr>
        <w:t>Workflow 1: Dashboard</w:t>
      </w:r>
    </w:p>
    <w:p>
      <w:r>
        <w:rPr>
          <w:rFonts w:ascii="Arial" w:hAnsi="Arial"/>
          <w:b w:val="0"/>
          <w:i/>
          <w:color w:val="64748B"/>
          <w:sz w:val="20"/>
        </w:rPr>
        <w:t>2:00 - 5:00 (3 min)</w:t>
      </w:r>
    </w:p>
    <w:p>
      <w:r>
        <w:rPr>
          <w:rFonts w:ascii="Arial" w:hAnsi="Arial"/>
          <w:b/>
          <w:i w:val="0"/>
          <w:color w:val="1B2A4A"/>
          <w:sz w:val="22"/>
        </w:rPr>
        <w:t>SAY: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"This is your compliance command centre. At a glance, you see your overall compliance health score, pending tasks across all workflows, upcoming deadlines, and any critical alerts."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"The health score updates in real time as your team works through compliance tasks. If a policy is overdue for review, if a breach deadline is approaching, if a new regulatory update needs action — it all surfaces here."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"Everything is specific to YOUR firm. We use row-level multi-tenancy, so your data is completely isolated from every other firm on the platform."</w:t>
      </w:r>
    </w:p>
    <w:p>
      <w:r>
        <w:rPr>
          <w:rFonts w:ascii="Arial" w:hAnsi="Arial"/>
          <w:b/>
          <w:i w:val="0"/>
          <w:color w:val="059669"/>
          <w:sz w:val="22"/>
        </w:rPr>
        <w:t>SHOW: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Point out the compliance health score widget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Highlight critical alerts (breach deadlines, overdue tasks)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notification centre with recent activity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Click through to firm settings — SRA number, COLP/COFA details</w:t>
      </w:r>
    </w:p>
    <w:p>
      <w:r>
        <w:rPr>
          <w:rFonts w:ascii="Arial" w:hAnsi="Arial"/>
          <w:b/>
          <w:i w:val="0"/>
          <w:color w:val="0891B2"/>
          <w:sz w:val="20"/>
        </w:rPr>
        <w:t xml:space="preserve">TIP: </w:t>
      </w:r>
      <w:r>
        <w:rPr>
          <w:rFonts w:ascii="Arial" w:hAnsi="Arial"/>
          <w:b w:val="0"/>
          <w:i/>
          <w:color w:val="64748B"/>
          <w:sz w:val="20"/>
        </w:rPr>
        <w:t>If they ask about security, address it now: AES-256 encryption, TLS 1.3, row-level isolation.</w:t>
      </w:r>
    </w:p>
    <w:p>
      <w:pPr>
        <w:spacing w:before="40" w:after="40"/>
        <w:pBdr>
          <w:bottom w:val="single" w:sz="4" w:color="E2E8F0" w:space="1"/>
        </w:pBdr>
      </w:pPr>
    </w:p>
    <w:p>
      <w:r>
        <w:br w:type="page"/>
      </w:r>
    </w:p>
    <w:p>
      <w:pPr>
        <w:pStyle w:val="Heading2"/>
      </w:pPr>
      <w:r>
        <w:rPr>
          <w:color w:val="0891B2"/>
        </w:rPr>
        <w:t>Workflow 2: Regulatory Intelligence</w:t>
      </w:r>
    </w:p>
    <w:p>
      <w:r>
        <w:rPr>
          <w:rFonts w:ascii="Arial" w:hAnsi="Arial"/>
          <w:b w:val="0"/>
          <w:i/>
          <w:color w:val="64748B"/>
          <w:sz w:val="20"/>
        </w:rPr>
        <w:t>5:00 - 10:00 (5 min) ★ KEY MOMENT</w:t>
      </w:r>
    </w:p>
    <w:p>
      <w:r>
        <w:rPr>
          <w:rFonts w:ascii="Arial" w:hAnsi="Arial"/>
          <w:b/>
          <w:i w:val="0"/>
          <w:color w:val="1B2A4A"/>
          <w:sz w:val="22"/>
        </w:rPr>
        <w:t>SAY: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"This is where Seema differentiates itself. We monitor FIVE regulatory sources — SRA, ICO, HMRC, Law Society, and GOV.UK."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"Our scrapers check every 4 hours — that's 30 scans per day across all sources. When something relevant is found, our AI analyses the impact on YOUR firm specifically."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"Let me show you. [Click on a regulatory update.] See how the AI has assessed the impact level, identified which SRA Principles are affected, and generated specific action items with deadlines?"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"Your COLP would normally spend hours reading SRA notices and working out what applies. Seema does this in seconds."</w:t>
      </w:r>
    </w:p>
    <w:p>
      <w:r>
        <w:rPr>
          <w:rFonts w:ascii="Arial" w:hAnsi="Arial"/>
          <w:b/>
          <w:i w:val="0"/>
          <w:color w:val="059669"/>
          <w:sz w:val="22"/>
        </w:rPr>
        <w:t>SHOW: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Navigate to Regulatory Intelligence section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the feed of recent updates across all 5 sources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Click 'Analyse with AI' on a specific update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Walk through: impact assessment, affected SRA Principles, recommended actions, deadlines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the source link back to the original notice</w:t>
      </w:r>
    </w:p>
    <w:p>
      <w:r>
        <w:rPr>
          <w:rFonts w:ascii="Arial" w:hAnsi="Arial"/>
          <w:b/>
          <w:i w:val="0"/>
          <w:color w:val="0891B2"/>
          <w:sz w:val="20"/>
        </w:rPr>
        <w:t xml:space="preserve">TIP: </w:t>
      </w:r>
      <w:r>
        <w:rPr>
          <w:rFonts w:ascii="Arial" w:hAnsi="Arial"/>
          <w:b w:val="0"/>
          <w:i/>
          <w:color w:val="64748B"/>
          <w:sz w:val="20"/>
        </w:rPr>
        <w:t>This is usually the 'wow moment'. Let the AI analysis land. Pause for 5 seconds after showing it.</w:t>
      </w:r>
    </w:p>
    <w:p>
      <w:pPr>
        <w:spacing w:before="40" w:after="40"/>
        <w:pBdr>
          <w:bottom w:val="single" w:sz="4" w:color="E2E8F0" w:space="1"/>
        </w:pBdr>
      </w:pPr>
    </w:p>
    <w:p>
      <w:pPr>
        <w:pStyle w:val="Heading2"/>
      </w:pPr>
      <w:r>
        <w:rPr>
          <w:color w:val="0891B2"/>
        </w:rPr>
        <w:t>Workflow 3: Breach Reporting</w:t>
      </w:r>
    </w:p>
    <w:p>
      <w:r>
        <w:rPr>
          <w:rFonts w:ascii="Arial" w:hAnsi="Arial"/>
          <w:b w:val="0"/>
          <w:i/>
          <w:color w:val="64748B"/>
          <w:sz w:val="20"/>
        </w:rPr>
        <w:t>10:00 - 15:00 (5 min) ★ KEY MOMENT</w:t>
      </w:r>
    </w:p>
    <w:p>
      <w:r>
        <w:rPr>
          <w:rFonts w:ascii="Arial" w:hAnsi="Arial"/>
          <w:b/>
          <w:i w:val="0"/>
          <w:color w:val="1B2A4A"/>
          <w:sz w:val="22"/>
        </w:rPr>
        <w:t>SAY: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"Data breaches are every firm's nightmare — and the ICO gives you just 72 hours to report under Article 33. Let me show you how Seema handles the entire lifecycle."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"I'll create a breach report — a misdirected client email, severity high, 50 affected records. Watch what happens automatically..."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"Seema has calculated your 72-hour ICO deadline, created a critical compliance alert, and sent an email to your COLP. All in one step."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"Now I'll click Analyse Breach. The AI assesses whether ICO notification is actually required, identifies SRA implications, and generates a prioritised remediation plan with deadlines."</w:t>
      </w:r>
    </w:p>
    <w:p>
      <w:r>
        <w:rPr>
          <w:rFonts w:ascii="Arial" w:hAnsi="Arial"/>
          <w:b/>
          <w:i w:val="0"/>
          <w:color w:val="059669"/>
          <w:sz w:val="22"/>
        </w:rPr>
        <w:t>SHOW: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Navigate to Breach Reporting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existing breach reports with status indicators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Create a new breach: 'Misdirected client email', severity high, 50 records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auto-calculated ICO deadline (72 hours from now)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auto-generated compliance alert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Click 'Analyse Breach' — walk through the full AI analysis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Highlight: ICO notification assessment, SRA implications, remediation actions</w:t>
      </w:r>
    </w:p>
    <w:p>
      <w:r>
        <w:rPr>
          <w:rFonts w:ascii="Arial" w:hAnsi="Arial"/>
          <w:b/>
          <w:i w:val="0"/>
          <w:color w:val="0891B2"/>
          <w:sz w:val="20"/>
        </w:rPr>
        <w:t xml:space="preserve">TIP: </w:t>
      </w:r>
      <w:r>
        <w:rPr>
          <w:rFonts w:ascii="Arial" w:hAnsi="Arial"/>
          <w:b w:val="0"/>
          <w:i/>
          <w:color w:val="64748B"/>
          <w:sz w:val="20"/>
        </w:rPr>
        <w:t>Emphasise speed: 'Your COLP would spend 2-3 hours on this assessment. Seema does it in 30 seconds.'</w:t>
      </w:r>
    </w:p>
    <w:p>
      <w:pPr>
        <w:spacing w:before="40" w:after="40"/>
        <w:pBdr>
          <w:bottom w:val="single" w:sz="4" w:color="E2E8F0" w:space="1"/>
        </w:pBdr>
      </w:pPr>
    </w:p>
    <w:p>
      <w:r>
        <w:br w:type="page"/>
      </w:r>
    </w:p>
    <w:p>
      <w:pPr>
        <w:pStyle w:val="Heading2"/>
      </w:pPr>
      <w:r>
        <w:rPr>
          <w:color w:val="0891B2"/>
        </w:rPr>
        <w:t>Workflow 4: SRA Audit Workflow</w:t>
      </w:r>
    </w:p>
    <w:p>
      <w:r>
        <w:rPr>
          <w:rFonts w:ascii="Arial" w:hAnsi="Arial"/>
          <w:b w:val="0"/>
          <w:i/>
          <w:color w:val="64748B"/>
          <w:sz w:val="20"/>
        </w:rPr>
        <w:t>15:00 - 19:00 (4 min)</w:t>
      </w:r>
    </w:p>
    <w:p>
      <w:r>
        <w:rPr>
          <w:rFonts w:ascii="Arial" w:hAnsi="Arial"/>
          <w:b/>
          <w:i w:val="0"/>
          <w:color w:val="1B2A4A"/>
          <w:sz w:val="22"/>
        </w:rPr>
        <w:t>SAY: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"Every year, your COLP spends days — sometimes weeks — preparing the SRA annual return. Gathering data from spreadsheets, emails, filing cabinets."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"Seema's SRA Audit Workflow changes that completely. Because all your compliance activity runs through Seema — breaches, policies, risk assessments, training, complaints — the annual return is pre-populated from data captured throughout the year."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"And the audit trail is always on. Every action is timestamped and logged: who did what, when, and why. If the SRA inspector walks in tomorrow, you open this and show them everything."</w:t>
      </w:r>
    </w:p>
    <w:p>
      <w:r>
        <w:rPr>
          <w:rFonts w:ascii="Arial" w:hAnsi="Arial"/>
          <w:b/>
          <w:i w:val="0"/>
          <w:color w:val="059669"/>
          <w:sz w:val="22"/>
        </w:rPr>
        <w:t>SHOW: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Navigate to SRA Audit / Annual Return section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pre-populated data from compliance activity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Open the audit trail — filter by date, user, action type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a specific trail entry (e.g., breach report, policy approval)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Highlight the COLP/COFA tracking features</w:t>
      </w:r>
    </w:p>
    <w:p>
      <w:r>
        <w:rPr>
          <w:rFonts w:ascii="Arial" w:hAnsi="Arial"/>
          <w:b/>
          <w:i w:val="0"/>
          <w:color w:val="0891B2"/>
          <w:sz w:val="20"/>
        </w:rPr>
        <w:t xml:space="preserve">TIP: </w:t>
      </w:r>
      <w:r>
        <w:rPr>
          <w:rFonts w:ascii="Arial" w:hAnsi="Arial"/>
          <w:b w:val="0"/>
          <w:i/>
          <w:color w:val="64748B"/>
          <w:sz w:val="20"/>
        </w:rPr>
        <w:t>Ask: 'How many hours does your COLP currently spend preparing the annual return?' Their answer will anchor the ROI conversation.</w:t>
      </w:r>
    </w:p>
    <w:p>
      <w:pPr>
        <w:spacing w:before="40" w:after="40"/>
        <w:pBdr>
          <w:bottom w:val="single" w:sz="4" w:color="E2E8F0" w:space="1"/>
        </w:pBdr>
      </w:pPr>
    </w:p>
    <w:p>
      <w:pPr>
        <w:pStyle w:val="Heading2"/>
      </w:pPr>
      <w:r>
        <w:rPr>
          <w:color w:val="0891B2"/>
        </w:rPr>
        <w:t>Workflow 5: Policy Management</w:t>
      </w:r>
    </w:p>
    <w:p>
      <w:r>
        <w:rPr>
          <w:rFonts w:ascii="Arial" w:hAnsi="Arial"/>
          <w:b w:val="0"/>
          <w:i/>
          <w:color w:val="64748B"/>
          <w:sz w:val="20"/>
        </w:rPr>
        <w:t>19:00 - 23:00 (4 min)</w:t>
      </w:r>
    </w:p>
    <w:p>
      <w:r>
        <w:rPr>
          <w:rFonts w:ascii="Arial" w:hAnsi="Arial"/>
          <w:b/>
          <w:i w:val="0"/>
          <w:color w:val="1B2A4A"/>
          <w:sz w:val="22"/>
        </w:rPr>
        <w:t>SAY: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"Every firm needs compliance policies — AML, data protection, equality, anti-bribery, complaints handling, information security. Writing these from scratch takes days."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"Seema's AI generates comprehensive policies in seconds — and they're not generic templates. Each references the specific UK regulations: POCA 2002, UK GDPR, Equality Act 2010, Bribery Act 2010."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"Let me generate an AML policy. [Click generate.] Look at the output — customer due diligence, enhanced due diligence, suspicious activity reporting, record-keeping, all with proper legislative references."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"Your COLP reviews and approves — we never auto-publish. The review workflow also tracks when policies are due for their next review, so nothing goes stale."</w:t>
      </w:r>
    </w:p>
    <w:p>
      <w:r>
        <w:rPr>
          <w:rFonts w:ascii="Arial" w:hAnsi="Arial"/>
          <w:b/>
          <w:i w:val="0"/>
          <w:color w:val="059669"/>
          <w:sz w:val="22"/>
        </w:rPr>
        <w:t>SHOW: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Navigate to Policy Management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existing policies with status indicators (Active, Under Review)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Generate a new policy — show AI output in real time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Scroll through — highlight UK regulatory references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review/approve workflow and review date tracking</w:t>
      </w:r>
    </w:p>
    <w:p>
      <w:r>
        <w:rPr>
          <w:rFonts w:ascii="Arial" w:hAnsi="Arial"/>
          <w:b/>
          <w:i w:val="0"/>
          <w:color w:val="0891B2"/>
          <w:sz w:val="20"/>
        </w:rPr>
        <w:t xml:space="preserve">TIP: </w:t>
      </w:r>
      <w:r>
        <w:rPr>
          <w:rFonts w:ascii="Arial" w:hAnsi="Arial"/>
          <w:b w:val="0"/>
          <w:i/>
          <w:color w:val="64748B"/>
          <w:sz w:val="20"/>
        </w:rPr>
        <w:t>If they have specific practice areas (conveyancing, immigration), mention policies can be tailored to their specialisms.</w:t>
      </w:r>
    </w:p>
    <w:p>
      <w:pPr>
        <w:spacing w:before="40" w:after="40"/>
        <w:pBdr>
          <w:bottom w:val="single" w:sz="4" w:color="E2E8F0" w:space="1"/>
        </w:pBdr>
      </w:pPr>
    </w:p>
    <w:p>
      <w:r>
        <w:br w:type="page"/>
      </w:r>
    </w:p>
    <w:p>
      <w:pPr>
        <w:pStyle w:val="Heading2"/>
      </w:pPr>
      <w:r>
        <w:rPr>
          <w:color w:val="0891B2"/>
        </w:rPr>
        <w:t>Additional Features (Quick Tour)</w:t>
      </w:r>
    </w:p>
    <w:p>
      <w:r>
        <w:rPr>
          <w:rFonts w:ascii="Arial" w:hAnsi="Arial"/>
          <w:b w:val="0"/>
          <w:i/>
          <w:color w:val="64748B"/>
          <w:sz w:val="20"/>
        </w:rPr>
        <w:t>23:00 - 25:00 (2 min)</w:t>
      </w:r>
    </w:p>
    <w:p>
      <w:r>
        <w:rPr>
          <w:rFonts w:ascii="Arial" w:hAnsi="Arial"/>
          <w:b/>
          <w:i w:val="0"/>
          <w:color w:val="1B2A4A"/>
          <w:sz w:val="22"/>
        </w:rPr>
        <w:t>SAY: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"Beyond the 5 core workflows, Seema has 16+ additional compliance modules. Let me quickly show the highlights."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"AML/KYC — automated screening and documentation. Conflict checks — automated when you open new matters. Complaints handling — full lifecycle with SRA timelines. Staff competency and CPD tracking. Risk register with severity and mitigation plans."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"And 20+ automated background tasks keep everything running — regulatory scrapers, deadline reminders, overdue escalations, policy review notifications."</w:t>
      </w:r>
    </w:p>
    <w:p>
      <w:r>
        <w:rPr>
          <w:rFonts w:ascii="Arial" w:hAnsi="Arial"/>
          <w:b/>
          <w:i w:val="0"/>
          <w:color w:val="059669"/>
          <w:sz w:val="22"/>
        </w:rPr>
        <w:t>SHOW: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Quick flythrough: AML, Conflicts, Complaints, CPD, Risk Register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30 seconds per module maximum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notification preferences / settings</w:t>
      </w:r>
    </w:p>
    <w:p>
      <w:r>
        <w:rPr>
          <w:rFonts w:ascii="Arial" w:hAnsi="Arial"/>
          <w:b/>
          <w:i w:val="0"/>
          <w:color w:val="0891B2"/>
          <w:sz w:val="20"/>
        </w:rPr>
        <w:t xml:space="preserve">TIP: </w:t>
      </w:r>
      <w:r>
        <w:rPr>
          <w:rFonts w:ascii="Arial" w:hAnsi="Arial"/>
          <w:b w:val="0"/>
          <w:i/>
          <w:color w:val="64748B"/>
          <w:sz w:val="20"/>
        </w:rPr>
        <w:t>Don't linger here. These are breadth, not depth. The 5 workflows are the story.</w:t>
      </w:r>
    </w:p>
    <w:p>
      <w:pPr>
        <w:spacing w:before="40" w:after="40"/>
        <w:pBdr>
          <w:bottom w:val="single" w:sz="4" w:color="E2E8F0" w:space="1"/>
        </w:pBdr>
      </w:pPr>
    </w:p>
    <w:p>
      <w:pPr>
        <w:pStyle w:val="Heading2"/>
      </w:pPr>
      <w:r>
        <w:rPr>
          <w:color w:val="0891B2"/>
        </w:rPr>
        <w:t>Pricing &amp; Close</w:t>
      </w:r>
    </w:p>
    <w:p>
      <w:r>
        <w:rPr>
          <w:rFonts w:ascii="Arial" w:hAnsi="Arial"/>
          <w:b w:val="0"/>
          <w:i/>
          <w:color w:val="64748B"/>
          <w:sz w:val="20"/>
        </w:rPr>
        <w:t>25:00 - 29:00 (4 min)</w:t>
      </w:r>
    </w:p>
    <w:p>
      <w:r>
        <w:rPr>
          <w:rFonts w:ascii="Arial" w:hAnsi="Arial"/>
          <w:b/>
          <w:i w:val="0"/>
          <w:color w:val="1B2A4A"/>
          <w:sz w:val="22"/>
        </w:rPr>
        <w:t>SAY: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"Pricing is straightforward. Starter at £49/month for up to 5 fee-earners — core workflows and basic AI. Professional at £149/month for up to 20 — full AI suite, all modules, priority support. Enterprise at £349/month for larger firms."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"Based on your [X] fee-earners and the compliance time you described, let me plug your numbers into our ROI calculator... [show results]"</w:t>
      </w:r>
    </w:p>
    <w:p>
      <w:pPr>
        <w:ind w:left="432"/>
      </w:pPr>
      <w:r>
        <w:rPr>
          <w:rFonts w:ascii="Arial" w:hAnsi="Arial"/>
          <w:b w:val="0"/>
          <w:i/>
          <w:color w:val="1E293B"/>
          <w:sz w:val="20"/>
        </w:rPr>
        <w:t>"We offer a free trial — 14 days, no credit card. We pre-load your firm details from your SRA registration. Can I set that up for you today?"</w:t>
      </w:r>
    </w:p>
    <w:p>
      <w:r>
        <w:rPr>
          <w:rFonts w:ascii="Arial" w:hAnsi="Arial"/>
          <w:b/>
          <w:i w:val="0"/>
          <w:color w:val="059669"/>
          <w:sz w:val="22"/>
        </w:rPr>
        <w:t>SHOW: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Open the ROI calculator in a separate tab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Plug in their firm's numbers live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Show monthly and annual savings</w:t>
      </w:r>
    </w:p>
    <w:p>
      <w:pPr>
        <w:ind w:left="432"/>
      </w:pPr>
      <w:r>
        <w:rPr>
          <w:rFonts w:ascii="Arial" w:hAnsi="Arial"/>
          <w:b w:val="0"/>
          <w:i w:val="0"/>
          <w:color w:val="1E293B"/>
          <w:sz w:val="20"/>
        </w:rPr>
        <w:t>-&gt;  Have trial signup ready</w:t>
      </w:r>
    </w:p>
    <w:p>
      <w:r>
        <w:rPr>
          <w:rFonts w:ascii="Arial" w:hAnsi="Arial"/>
          <w:b/>
          <w:i w:val="0"/>
          <w:color w:val="0891B2"/>
          <w:sz w:val="20"/>
        </w:rPr>
        <w:t xml:space="preserve">TIP: </w:t>
      </w:r>
      <w:r>
        <w:rPr>
          <w:rFonts w:ascii="Arial" w:hAnsi="Arial"/>
          <w:b w:val="0"/>
          <w:i/>
          <w:color w:val="64748B"/>
          <w:sz w:val="20"/>
        </w:rPr>
        <w:t>If they hesitate, use the Objection Handler. Common: need partner approval, want to see integrations, concerned about migration.</w:t>
      </w:r>
    </w:p>
    <w:p>
      <w:pPr>
        <w:spacing w:before="40" w:after="40"/>
        <w:pBdr>
          <w:bottom w:val="single" w:sz="4" w:color="E2E8F0" w:space="1"/>
        </w:pBdr>
      </w:pPr>
    </w:p>
    <w:p>
      <w:r>
        <w:br w:type="page"/>
      </w:r>
    </w:p>
    <w:p>
      <w:pPr>
        <w:pStyle w:val="Heading1"/>
      </w:pPr>
      <w:r>
        <w:rPr>
          <w:color w:val="1B2A4A"/>
        </w:rPr>
        <w:t>Post-Demo Follow-Up</w:t>
      </w:r>
    </w:p>
    <w:p>
      <w:r>
        <w:rPr>
          <w:rFonts w:ascii="Arial" w:hAnsi="Arial"/>
          <w:b/>
          <w:i w:val="0"/>
          <w:color w:val="0891B2"/>
          <w:sz w:val="22"/>
        </w:rPr>
        <w:t xml:space="preserve">Within 1 hour: </w:t>
      </w:r>
      <w:r>
        <w:rPr>
          <w:rFonts w:ascii="Arial" w:hAnsi="Arial"/>
          <w:b w:val="0"/>
          <w:i w:val="0"/>
          <w:color w:val="1E293B"/>
          <w:sz w:val="22"/>
        </w:rPr>
        <w:t>Send thank-you email with customised ROI calculator</w:t>
      </w:r>
    </w:p>
    <w:p>
      <w:r>
        <w:rPr>
          <w:rFonts w:ascii="Arial" w:hAnsi="Arial"/>
          <w:b/>
          <w:i w:val="0"/>
          <w:color w:val="0891B2"/>
          <w:sz w:val="22"/>
        </w:rPr>
        <w:t xml:space="preserve">Within 24 hours: </w:t>
      </w:r>
      <w:r>
        <w:rPr>
          <w:rFonts w:ascii="Arial" w:hAnsi="Arial"/>
          <w:b w:val="0"/>
          <w:i w:val="0"/>
          <w:color w:val="1E293B"/>
          <w:sz w:val="22"/>
        </w:rPr>
        <w:t>Send trial invitation with pre-loaded firm data</w:t>
      </w:r>
    </w:p>
    <w:p>
      <w:r>
        <w:rPr>
          <w:rFonts w:ascii="Arial" w:hAnsi="Arial"/>
          <w:b/>
          <w:i w:val="0"/>
          <w:color w:val="0891B2"/>
          <w:sz w:val="22"/>
        </w:rPr>
        <w:t xml:space="preserve">Day 3: </w:t>
      </w:r>
      <w:r>
        <w:rPr>
          <w:rFonts w:ascii="Arial" w:hAnsi="Arial"/>
          <w:b w:val="0"/>
          <w:i w:val="0"/>
          <w:color w:val="1E293B"/>
          <w:sz w:val="22"/>
        </w:rPr>
        <w:t>Check-in — ask which of the 5 workflows resonated most</w:t>
      </w:r>
    </w:p>
    <w:p>
      <w:r>
        <w:rPr>
          <w:rFonts w:ascii="Arial" w:hAnsi="Arial"/>
          <w:b/>
          <w:i w:val="0"/>
          <w:color w:val="0891B2"/>
          <w:sz w:val="22"/>
        </w:rPr>
        <w:t xml:space="preserve">Day 7: </w:t>
      </w:r>
      <w:r>
        <w:rPr>
          <w:rFonts w:ascii="Arial" w:hAnsi="Arial"/>
          <w:b w:val="0"/>
          <w:i w:val="0"/>
          <w:color w:val="1E293B"/>
          <w:sz w:val="22"/>
        </w:rPr>
        <w:t>Share relevant case study or testimonial</w:t>
      </w:r>
    </w:p>
    <w:p>
      <w:r>
        <w:rPr>
          <w:rFonts w:ascii="Arial" w:hAnsi="Arial"/>
          <w:b/>
          <w:i w:val="0"/>
          <w:color w:val="0891B2"/>
          <w:sz w:val="22"/>
        </w:rPr>
        <w:t xml:space="preserve">Day 14: </w:t>
      </w:r>
      <w:r>
        <w:rPr>
          <w:rFonts w:ascii="Arial" w:hAnsi="Arial"/>
          <w:b w:val="0"/>
          <w:i w:val="0"/>
          <w:color w:val="1E293B"/>
          <w:sz w:val="22"/>
        </w:rPr>
        <w:t>Decision call — address remaining concerns, offer partner presentation</w:t>
      </w:r>
    </w:p>
    <w:p>
      <w:r>
        <w:rPr>
          <w:rFonts w:ascii="Arial" w:hAnsi="Arial"/>
          <w:b/>
          <w:i w:val="0"/>
          <w:color w:val="0891B2"/>
          <w:sz w:val="22"/>
        </w:rPr>
        <w:t xml:space="preserve">Day 21: </w:t>
      </w:r>
      <w:r>
        <w:rPr>
          <w:rFonts w:ascii="Arial" w:hAnsi="Arial"/>
          <w:b w:val="0"/>
          <w:i w:val="0"/>
          <w:color w:val="1E293B"/>
          <w:sz w:val="22"/>
        </w:rPr>
        <w:t>Final follow-up with early-adopter pricing if applicable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