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A1A2E"/>
          <w:sz w:val="48"/>
        </w:rPr>
        <w:t>Incident Response Plan</w:t>
      </w:r>
    </w:p>
    <w:p>
      <w:pPr>
        <w:spacing w:after="480"/>
        <w:jc w:val="center"/>
      </w:pPr>
      <w:r>
        <w:rPr>
          <w:rFonts w:ascii="Arial" w:hAnsi="Arial"/>
          <w:i/>
          <w:color w:val="666666"/>
          <w:sz w:val="20"/>
        </w:rPr>
        <w:t>Version 1.0  |  Classification: Internal  |  [DATE]</w:t>
      </w:r>
    </w:p>
    <w:p>
      <w:pPr>
        <w:pStyle w:val="Heading1"/>
      </w:pPr>
      <w:r>
        <w:t>1. Purpose and Scope</w:t>
      </w:r>
    </w:p>
    <w:p>
      <w:r>
        <w:t>This Incident Response Plan (IRP) defines the process for detecting, responding to, and recovering from security incidents affecting the Seema platform and its data.</w:t>
      </w:r>
    </w:p>
    <w:p>
      <w:pPr>
        <w:pStyle w:val="Heading1"/>
      </w:pPr>
      <w:r>
        <w:t>2. Incident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Response Time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Critical (P1)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Active data breach or complete outage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Cross-tenant leak, ransomware, DB compromise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Immediate (15 min)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High (P2)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Potential data exposure or degradation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Suspicious access, partial outage, vuln exploit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Within 1 hour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Medium (P3)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Contained security event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Failed intrusion attempt, minor data display bug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Within 4 hours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Low (P4)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Informational security event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Unusual login patterns, minor config issue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Within 24 hours</w:t>
            </w:r>
          </w:p>
        </w:tc>
      </w:tr>
    </w:tbl>
    <w:p/>
    <w:p>
      <w:pPr>
        <w:pStyle w:val="Heading1"/>
      </w:pPr>
      <w:r>
        <w:t>3. Response Team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234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Backup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Incident Commander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[CTO]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[PHONE/EMAIL]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[BACKUP]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Technical Lead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[Senior Dev]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[PHONE/EMAIL]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[BACKUP]</w:t>
            </w:r>
          </w:p>
        </w:tc>
      </w:tr>
      <w:tr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Data Protection Lead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[DPO]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[PHONE/EMAIL]</w:t>
            </w:r>
          </w:p>
        </w:tc>
        <w:tc>
          <w:tcPr>
            <w:tcW w:type="dxa" w:w="2340"/>
            <w:shd w:fill="F0F4FF"/>
          </w:tcPr>
          <w:p>
            <w:r/>
            <w:r>
              <w:rPr>
                <w:rFonts w:ascii="Arial" w:hAnsi="Arial"/>
                <w:sz w:val="20"/>
              </w:rPr>
              <w:t>[BACKUP]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Communications Lead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[CEO/Founder]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[PHONE/EMAIL]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[BACKUP]</w:t>
            </w:r>
          </w:p>
        </w:tc>
      </w:tr>
    </w:tbl>
    <w:p/>
    <w:p>
      <w:pPr>
        <w:pStyle w:val="Heading1"/>
      </w:pPr>
      <w:r>
        <w:t>4. Response Phases</w:t>
      </w:r>
    </w:p>
    <w:p>
      <w:pPr>
        <w:pStyle w:val="Heading2"/>
      </w:pPr>
      <w:r>
        <w:t>Phase 1: Detection and Identification</w:t>
      </w:r>
    </w:p>
    <w:p>
      <w:r>
        <w:t>Incidents may be detected through:</w:t>
      </w:r>
    </w:p>
    <w:p>
      <w:pPr>
        <w:pStyle w:val="ListBullet"/>
      </w:pPr>
      <w:r>
        <w:t>Automated monitoring and alerting (server metrics, error rates, unusual queries)</w:t>
      </w:r>
    </w:p>
    <w:p>
      <w:pPr>
        <w:pStyle w:val="ListBullet"/>
      </w:pPr>
      <w:r>
        <w:t>Log analysis (authentication failures, rate limit triggers, unusual API patterns)</w:t>
      </w:r>
    </w:p>
    <w:p>
      <w:pPr>
        <w:pStyle w:val="ListBullet"/>
      </w:pPr>
      <w:r>
        <w:t>Customer reports</w:t>
      </w:r>
    </w:p>
    <w:p>
      <w:pPr>
        <w:pStyle w:val="ListBullet"/>
      </w:pPr>
      <w:r>
        <w:t>Third-party notifications (sub-processor breach notices, vulnerability disclosures)</w:t>
      </w:r>
    </w:p>
    <w:p>
      <w:pPr>
        <w:pStyle w:val="Heading2"/>
      </w:pPr>
      <w:r>
        <w:t>Phase 2: Containment</w:t>
      </w:r>
    </w:p>
    <w:p>
      <w:r>
        <w:t>Short-term containment:</w:t>
      </w:r>
    </w:p>
    <w:p>
      <w:pPr>
        <w:pStyle w:val="ListBullet"/>
      </w:pPr>
      <w:r>
        <w:t>Isolate affected systems or accounts</w:t>
      </w:r>
    </w:p>
    <w:p>
      <w:pPr>
        <w:pStyle w:val="ListBullet"/>
      </w:pPr>
      <w:r>
        <w:t>Block malicious IP addresses or users</w:t>
      </w:r>
    </w:p>
    <w:p>
      <w:pPr>
        <w:pStyle w:val="ListBullet"/>
      </w:pPr>
      <w:r>
        <w:t>Revoke compromised credentials</w:t>
      </w:r>
    </w:p>
    <w:p>
      <w:pPr>
        <w:pStyle w:val="ListBullet"/>
      </w:pPr>
      <w:r>
        <w:t>Enable enhanced logging on affected systems</w:t>
      </w:r>
    </w:p>
    <w:p>
      <w:pPr>
        <w:pStyle w:val="Heading2"/>
      </w:pPr>
      <w:r>
        <w:t>Phase 3: Eradication</w:t>
      </w:r>
    </w:p>
    <w:p>
      <w:pPr>
        <w:pStyle w:val="ListBullet"/>
      </w:pPr>
      <w:r>
        <w:t>Identify root cause through log analysis and forensics</w:t>
      </w:r>
    </w:p>
    <w:p>
      <w:pPr>
        <w:pStyle w:val="ListBullet"/>
      </w:pPr>
      <w:r>
        <w:t>Remove malicious code, close vulnerabilities, patch systems</w:t>
      </w:r>
    </w:p>
    <w:p>
      <w:pPr>
        <w:pStyle w:val="ListBullet"/>
      </w:pPr>
      <w:r>
        <w:t>Verify eradication across all potentially affected systems</w:t>
      </w:r>
    </w:p>
    <w:p>
      <w:pPr>
        <w:pStyle w:val="ListBullet"/>
      </w:pPr>
      <w:r>
        <w:t>Update security controls to prevent recurrence</w:t>
      </w:r>
    </w:p>
    <w:p>
      <w:pPr>
        <w:pStyle w:val="Heading2"/>
      </w:pPr>
      <w:r>
        <w:t>Phase 4: Recovery</w:t>
      </w:r>
    </w:p>
    <w:p>
      <w:pPr>
        <w:pStyle w:val="ListBullet"/>
      </w:pPr>
      <w:r>
        <w:t>Restore systems from clean backups if needed</w:t>
      </w:r>
    </w:p>
    <w:p>
      <w:pPr>
        <w:pStyle w:val="ListBullet"/>
      </w:pPr>
      <w:r>
        <w:t>Verify data integrity before bringing systems back online</w:t>
      </w:r>
    </w:p>
    <w:p>
      <w:pPr>
        <w:pStyle w:val="ListBullet"/>
      </w:pPr>
      <w:r>
        <w:t>Monitor restored systems closely for 48 hours</w:t>
      </w:r>
    </w:p>
    <w:p>
      <w:pPr>
        <w:pStyle w:val="ListBullet"/>
      </w:pPr>
      <w:r>
        <w:t>Confirm with affected customers that service is restored</w:t>
      </w:r>
    </w:p>
    <w:p>
      <w:pPr>
        <w:pStyle w:val="Heading2"/>
      </w:pPr>
      <w:r>
        <w:t>Phase 5: Post-Incident Review</w:t>
      </w:r>
    </w:p>
    <w:p>
      <w:r>
        <w:t>Within 5 business days of incident closure:</w:t>
      </w:r>
    </w:p>
    <w:p>
      <w:pPr>
        <w:pStyle w:val="ListBullet"/>
      </w:pPr>
      <w:r>
        <w:t>Conduct blameless post-mortem with all involved parties</w:t>
      </w:r>
    </w:p>
    <w:p>
      <w:pPr>
        <w:pStyle w:val="ListBullet"/>
      </w:pPr>
      <w:r>
        <w:t>Document timeline, root cause, impact, and response effectiveness</w:t>
      </w:r>
    </w:p>
    <w:p>
      <w:pPr>
        <w:pStyle w:val="ListBullet"/>
      </w:pPr>
      <w:r>
        <w:t>Identify improvements to prevent recurrence</w:t>
      </w:r>
    </w:p>
    <w:p>
      <w:pPr>
        <w:pStyle w:val="ListBullet"/>
      </w:pPr>
      <w:r>
        <w:t>Update this IRP, runbooks, and monitoring based on lessons learned</w:t>
      </w:r>
    </w:p>
    <w:p>
      <w:pPr>
        <w:pStyle w:val="Heading1"/>
      </w:pPr>
      <w:r>
        <w:t>5. Key Contacts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4680"/>
            <w:shd w:fill="1A1A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ICO breach reporting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ico.org.uk/make-a-complaint | 0303 123 1113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VPS provider support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[PROVIDER CONTACT]</w:t>
            </w:r>
          </w:p>
        </w:tc>
      </w:tr>
      <w:tr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Anthropic security</w:t>
            </w:r>
          </w:p>
        </w:tc>
        <w:tc>
          <w:tcPr>
            <w:tcW w:type="dxa" w:w="4680"/>
            <w:shd w:fill="F0F4FF"/>
          </w:tcPr>
          <w:p>
            <w:r/>
            <w:r>
              <w:rPr>
                <w:rFonts w:ascii="Arial" w:hAnsi="Arial"/>
                <w:sz w:val="20"/>
              </w:rPr>
              <w:t>security@anthropic.com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Legal advisor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20"/>
              </w:rPr>
              <w:t>[SOLICITOR CONTACT]</w:t>
            </w:r>
          </w:p>
        </w:tc>
      </w:tr>
    </w:tbl>
    <w:p/>
    <w:p>
      <w:pPr>
        <w:pStyle w:val="Heading1"/>
      </w:pPr>
      <w:r>
        <w:t>6. Review and Testing</w:t>
      </w:r>
    </w:p>
    <w:p>
      <w:r>
        <w:t>This plan is reviewed quarterly and tested annually through tabletop exercises. All team members are trained on their roles upon joining and annually thereafter.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Seema AI Ltd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4A6CF7"/>
        <w:sz w:val="18"/>
      </w:rPr>
      <w:t>SEEMA</w:t>
    </w:r>
    <w:r>
      <w:rPr>
        <w:rFonts w:ascii="Arial" w:hAnsi="Arial"/>
        <w:color w:val="666666"/>
        <w:sz w:val="16"/>
      </w:rPr>
      <w:t xml:space="preserve">  |  Incident Response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