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1A2E"/>
          <w:sz w:val="48"/>
        </w:rPr>
        <w:t>Privacy Policy</w:t>
      </w:r>
    </w:p>
    <w:p>
      <w:pPr>
        <w:spacing w:after="480"/>
        <w:jc w:val="center"/>
      </w:pPr>
      <w:r>
        <w:rPr>
          <w:rFonts w:ascii="Arial" w:hAnsi="Arial"/>
          <w:i/>
          <w:color w:val="666666"/>
          <w:sz w:val="20"/>
        </w:rPr>
        <w:t>Last updated: [DATE]</w:t>
      </w:r>
    </w:p>
    <w:p>
      <w:pPr>
        <w:pStyle w:val="Heading1"/>
      </w:pPr>
      <w:r>
        <w:t>1. Who We Are</w:t>
      </w:r>
    </w:p>
    <w:p>
      <w:r>
        <w:t>Seema AI Ltd ("Seema", "we", "us", "our") is a compliance intelligence platform designed for SRA-regulated law firms in England and Wales. We are the data controller for the personal data we process in connection with our platform and services.</w:t>
      </w:r>
    </w:p>
    <w:p>
      <w:r>
        <w:t>Registered office: [ADDRESS]</w:t>
      </w:r>
    </w:p>
    <w:p>
      <w:r>
        <w:t>ICO registration number: [ICO NUMBER]</w:t>
      </w:r>
    </w:p>
    <w:p>
      <w:r>
        <w:t>Contact: privacy@seemaai.co.uk</w:t>
      </w:r>
    </w:p>
    <w:p>
      <w:pPr>
        <w:pStyle w:val="Heading1"/>
      </w:pPr>
      <w:r>
        <w:t>2. What Personal Data We Collect</w:t>
      </w:r>
    </w:p>
    <w:p>
      <w:pPr>
        <w:pStyle w:val="Heading2"/>
      </w:pPr>
      <w:r>
        <w:t>2.1 Data You Provide</w:t>
      </w:r>
    </w:p>
    <w:p>
      <w:pPr>
        <w:pStyle w:val="ListBullet"/>
      </w:pPr>
      <w:r>
        <w:t>Account information: name, email address, role, firm name, SRA number</w:t>
      </w:r>
    </w:p>
    <w:p>
      <w:pPr>
        <w:pStyle w:val="ListBullet"/>
      </w:pPr>
      <w:r>
        <w:t>Staff records: names, email addresses, roles, PQE, department, supervisor assignments</w:t>
      </w:r>
    </w:p>
    <w:p>
      <w:pPr>
        <w:pStyle w:val="ListBullet"/>
      </w:pPr>
      <w:r>
        <w:t>Training records: CPD hours, completion dates, certificate references</w:t>
      </w:r>
    </w:p>
    <w:p>
      <w:pPr>
        <w:pStyle w:val="ListBullet"/>
      </w:pPr>
      <w:r>
        <w:t>Client intake data: client names, contact details, risk assessments, source of funds/wealth declarations, PEP status</w:t>
      </w:r>
    </w:p>
    <w:p>
      <w:pPr>
        <w:pStyle w:val="ListBullet"/>
      </w:pPr>
      <w:r>
        <w:t>Breach reports: incident descriptions, affected individuals, remediation steps</w:t>
      </w:r>
    </w:p>
    <w:p>
      <w:pPr>
        <w:pStyle w:val="ListBullet"/>
      </w:pPr>
      <w:r>
        <w:t>Correspondence: emails sent through the platform, chase communications</w:t>
      </w:r>
    </w:p>
    <w:p>
      <w:pPr>
        <w:pStyle w:val="Heading2"/>
      </w:pPr>
      <w:r>
        <w:t>2.2 Data We Collect Automatically</w:t>
      </w:r>
    </w:p>
    <w:p>
      <w:pPr>
        <w:pStyle w:val="ListBullet"/>
      </w:pPr>
      <w:r>
        <w:t>Login timestamps, IP addresses, browser/device information</w:t>
      </w:r>
    </w:p>
    <w:p>
      <w:pPr>
        <w:pStyle w:val="ListBullet"/>
      </w:pPr>
      <w:r>
        <w:t>Audit trail data: actions taken within the platform, who did what and when</w:t>
      </w:r>
    </w:p>
    <w:p>
      <w:pPr>
        <w:pStyle w:val="ListBullet"/>
      </w:pPr>
      <w:r>
        <w:t>Usage analytics: pages visited, features used, session duration</w:t>
      </w:r>
    </w:p>
    <w:p>
      <w:pPr>
        <w:pStyle w:val="Heading2"/>
      </w:pPr>
      <w:r>
        <w:t>2.3 Data from Third-Party Sources</w:t>
      </w:r>
    </w:p>
    <w:p>
      <w:pPr>
        <w:pStyle w:val="ListBullet"/>
      </w:pPr>
      <w:r>
        <w:t>Regulatory updates scraped from public sources: SRA, ICO, GOV.UK, Law Society</w:t>
      </w:r>
    </w:p>
    <w:p>
      <w:pPr>
        <w:pStyle w:val="ListBullet"/>
      </w:pPr>
      <w:r>
        <w:t>SRA register data: publicly available firm and individual registration details</w:t>
      </w:r>
    </w:p>
    <w:p>
      <w:pPr>
        <w:pStyle w:val="Heading1"/>
      </w:pPr>
      <w:r>
        <w:t>3. How We Use Your Data</w:t>
      </w:r>
    </w:p>
    <w:p>
      <w:r>
        <w:t>We process personal data for the following purposes:</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A1A2E"/>
          </w:tcPr>
          <w:p>
            <w:r/>
            <w:r>
              <w:rPr>
                <w:rFonts w:ascii="Arial" w:hAnsi="Arial"/>
                <w:b/>
                <w:color w:val="FFFFFF"/>
                <w:sz w:val="20"/>
              </w:rPr>
              <w:t>Purpose</w:t>
            </w:r>
          </w:p>
        </w:tc>
        <w:tc>
          <w:tcPr>
            <w:tcW w:type="dxa" w:w="3120"/>
            <w:shd w:fill="1A1A2E"/>
          </w:tcPr>
          <w:p>
            <w:r/>
            <w:r>
              <w:rPr>
                <w:rFonts w:ascii="Arial" w:hAnsi="Arial"/>
                <w:b/>
                <w:color w:val="FFFFFF"/>
                <w:sz w:val="20"/>
              </w:rPr>
              <w:t>Lawful Basis</w:t>
            </w:r>
          </w:p>
        </w:tc>
        <w:tc>
          <w:tcPr>
            <w:tcW w:type="dxa" w:w="3120"/>
            <w:shd w:fill="1A1A2E"/>
          </w:tcPr>
          <w:p>
            <w:r/>
            <w:r>
              <w:rPr>
                <w:rFonts w:ascii="Arial" w:hAnsi="Arial"/>
                <w:b/>
                <w:color w:val="FFFFFF"/>
                <w:sz w:val="20"/>
              </w:rPr>
              <w:t>Data Involved</w:t>
            </w:r>
          </w:p>
        </w:tc>
      </w:tr>
      <w:tr>
        <w:tc>
          <w:tcPr>
            <w:tcW w:type="dxa" w:w="3120"/>
            <w:shd w:fill="F0F4FF"/>
          </w:tcPr>
          <w:p>
            <w:r/>
            <w:r>
              <w:rPr>
                <w:rFonts w:ascii="Arial" w:hAnsi="Arial"/>
                <w:sz w:val="20"/>
              </w:rPr>
              <w:t>Providing the compliance platform</w:t>
            </w:r>
          </w:p>
        </w:tc>
        <w:tc>
          <w:tcPr>
            <w:tcW w:type="dxa" w:w="3120"/>
            <w:shd w:fill="F0F4FF"/>
          </w:tcPr>
          <w:p>
            <w:r/>
            <w:r>
              <w:rPr>
                <w:rFonts w:ascii="Arial" w:hAnsi="Arial"/>
                <w:sz w:val="20"/>
              </w:rPr>
              <w:t>Performance of contract (Art. 6(1)(b))</w:t>
            </w:r>
          </w:p>
        </w:tc>
        <w:tc>
          <w:tcPr>
            <w:tcW w:type="dxa" w:w="3120"/>
            <w:shd w:fill="F0F4FF"/>
          </w:tcPr>
          <w:p>
            <w:r/>
            <w:r>
              <w:rPr>
                <w:rFonts w:ascii="Arial" w:hAnsi="Arial"/>
                <w:sz w:val="20"/>
              </w:rPr>
              <w:t>Account data, staff records, training records</w:t>
            </w:r>
          </w:p>
        </w:tc>
      </w:tr>
      <w:tr>
        <w:tc>
          <w:tcPr>
            <w:tcW w:type="dxa" w:w="3120"/>
          </w:tcPr>
          <w:p>
            <w:r/>
            <w:r>
              <w:rPr>
                <w:rFonts w:ascii="Arial" w:hAnsi="Arial"/>
                <w:sz w:val="20"/>
              </w:rPr>
              <w:t>Automated compliance monitoring and alerts</w:t>
            </w:r>
          </w:p>
        </w:tc>
        <w:tc>
          <w:tcPr>
            <w:tcW w:type="dxa" w:w="3120"/>
          </w:tcPr>
          <w:p>
            <w:r/>
            <w:r>
              <w:rPr>
                <w:rFonts w:ascii="Arial" w:hAnsi="Arial"/>
                <w:sz w:val="20"/>
              </w:rPr>
              <w:t>Performance of contract (Art. 6(1)(b))</w:t>
            </w:r>
          </w:p>
        </w:tc>
        <w:tc>
          <w:tcPr>
            <w:tcW w:type="dxa" w:w="3120"/>
          </w:tcPr>
          <w:p>
            <w:r/>
            <w:r>
              <w:rPr>
                <w:rFonts w:ascii="Arial" w:hAnsi="Arial"/>
                <w:sz w:val="20"/>
              </w:rPr>
              <w:t>Staff records, deadlines, training status</w:t>
            </w:r>
          </w:p>
        </w:tc>
      </w:tr>
      <w:tr>
        <w:tc>
          <w:tcPr>
            <w:tcW w:type="dxa" w:w="3120"/>
            <w:shd w:fill="F0F4FF"/>
          </w:tcPr>
          <w:p>
            <w:r/>
            <w:r>
              <w:rPr>
                <w:rFonts w:ascii="Arial" w:hAnsi="Arial"/>
                <w:sz w:val="20"/>
              </w:rPr>
              <w:t>AI-powered regulatory impact analysis</w:t>
            </w:r>
          </w:p>
        </w:tc>
        <w:tc>
          <w:tcPr>
            <w:tcW w:type="dxa" w:w="3120"/>
            <w:shd w:fill="F0F4FF"/>
          </w:tcPr>
          <w:p>
            <w:r/>
            <w:r>
              <w:rPr>
                <w:rFonts w:ascii="Arial" w:hAnsi="Arial"/>
                <w:sz w:val="20"/>
              </w:rPr>
              <w:t>Legitimate interest (Art. 6(1)(f))</w:t>
            </w:r>
          </w:p>
        </w:tc>
        <w:tc>
          <w:tcPr>
            <w:tcW w:type="dxa" w:w="3120"/>
            <w:shd w:fill="F0F4FF"/>
          </w:tcPr>
          <w:p>
            <w:r/>
            <w:r>
              <w:rPr>
                <w:rFonts w:ascii="Arial" w:hAnsi="Arial"/>
                <w:sz w:val="20"/>
              </w:rPr>
              <w:t>Firm profile, regulatory updates</w:t>
            </w:r>
          </w:p>
        </w:tc>
      </w:tr>
      <w:tr>
        <w:tc>
          <w:tcPr>
            <w:tcW w:type="dxa" w:w="3120"/>
          </w:tcPr>
          <w:p>
            <w:r/>
            <w:r>
              <w:rPr>
                <w:rFonts w:ascii="Arial" w:hAnsi="Arial"/>
                <w:sz w:val="20"/>
              </w:rPr>
              <w:t>Sending chase emails for overdue items</w:t>
            </w:r>
          </w:p>
        </w:tc>
        <w:tc>
          <w:tcPr>
            <w:tcW w:type="dxa" w:w="3120"/>
          </w:tcPr>
          <w:p>
            <w:r/>
            <w:r>
              <w:rPr>
                <w:rFonts w:ascii="Arial" w:hAnsi="Arial"/>
                <w:sz w:val="20"/>
              </w:rPr>
              <w:t>Performance of contract (Art. 6(1)(b))</w:t>
            </w:r>
          </w:p>
        </w:tc>
        <w:tc>
          <w:tcPr>
            <w:tcW w:type="dxa" w:w="3120"/>
          </w:tcPr>
          <w:p>
            <w:r/>
            <w:r>
              <w:rPr>
                <w:rFonts w:ascii="Arial" w:hAnsi="Arial"/>
                <w:sz w:val="20"/>
              </w:rPr>
              <w:t>Staff email, training/review status</w:t>
            </w:r>
          </w:p>
        </w:tc>
      </w:tr>
      <w:tr>
        <w:tc>
          <w:tcPr>
            <w:tcW w:type="dxa" w:w="3120"/>
            <w:shd w:fill="F0F4FF"/>
          </w:tcPr>
          <w:p>
            <w:r/>
            <w:r>
              <w:rPr>
                <w:rFonts w:ascii="Arial" w:hAnsi="Arial"/>
                <w:sz w:val="20"/>
              </w:rPr>
              <w:t>Breach notification management</w:t>
            </w:r>
          </w:p>
        </w:tc>
        <w:tc>
          <w:tcPr>
            <w:tcW w:type="dxa" w:w="3120"/>
            <w:shd w:fill="F0F4FF"/>
          </w:tcPr>
          <w:p>
            <w:r/>
            <w:r>
              <w:rPr>
                <w:rFonts w:ascii="Arial" w:hAnsi="Arial"/>
                <w:sz w:val="20"/>
              </w:rPr>
              <w:t>Legal obligation (Art. 6(1)(c))</w:t>
            </w:r>
          </w:p>
        </w:tc>
        <w:tc>
          <w:tcPr>
            <w:tcW w:type="dxa" w:w="3120"/>
            <w:shd w:fill="F0F4FF"/>
          </w:tcPr>
          <w:p>
            <w:r/>
            <w:r>
              <w:rPr>
                <w:rFonts w:ascii="Arial" w:hAnsi="Arial"/>
                <w:sz w:val="20"/>
              </w:rPr>
              <w:t>Breach details, affected individuals</w:t>
            </w:r>
          </w:p>
        </w:tc>
      </w:tr>
      <w:tr>
        <w:tc>
          <w:tcPr>
            <w:tcW w:type="dxa" w:w="3120"/>
          </w:tcPr>
          <w:p>
            <w:r/>
            <w:r>
              <w:rPr>
                <w:rFonts w:ascii="Arial" w:hAnsi="Arial"/>
                <w:sz w:val="20"/>
              </w:rPr>
              <w:t>Client due diligence (CDD/EDD)</w:t>
            </w:r>
          </w:p>
        </w:tc>
        <w:tc>
          <w:tcPr>
            <w:tcW w:type="dxa" w:w="3120"/>
          </w:tcPr>
          <w:p>
            <w:r/>
            <w:r>
              <w:rPr>
                <w:rFonts w:ascii="Arial" w:hAnsi="Arial"/>
                <w:sz w:val="20"/>
              </w:rPr>
              <w:t>Legal obligation (Art. 6(1)(c)) under MLR 2017</w:t>
            </w:r>
          </w:p>
        </w:tc>
        <w:tc>
          <w:tcPr>
            <w:tcW w:type="dxa" w:w="3120"/>
          </w:tcPr>
          <w:p>
            <w:r/>
            <w:r>
              <w:rPr>
                <w:rFonts w:ascii="Arial" w:hAnsi="Arial"/>
                <w:sz w:val="20"/>
              </w:rPr>
              <w:t>Client intake data, PEP status, source of funds</w:t>
            </w:r>
          </w:p>
        </w:tc>
      </w:tr>
      <w:tr>
        <w:tc>
          <w:tcPr>
            <w:tcW w:type="dxa" w:w="3120"/>
            <w:shd w:fill="F0F4FF"/>
          </w:tcPr>
          <w:p>
            <w:r/>
            <w:r>
              <w:rPr>
                <w:rFonts w:ascii="Arial" w:hAnsi="Arial"/>
                <w:sz w:val="20"/>
              </w:rPr>
              <w:t>Platform security and fraud prevention</w:t>
            </w:r>
          </w:p>
        </w:tc>
        <w:tc>
          <w:tcPr>
            <w:tcW w:type="dxa" w:w="3120"/>
            <w:shd w:fill="F0F4FF"/>
          </w:tcPr>
          <w:p>
            <w:r/>
            <w:r>
              <w:rPr>
                <w:rFonts w:ascii="Arial" w:hAnsi="Arial"/>
                <w:sz w:val="20"/>
              </w:rPr>
              <w:t>Legitimate interest (Art. 6(1)(f))</w:t>
            </w:r>
          </w:p>
        </w:tc>
        <w:tc>
          <w:tcPr>
            <w:tcW w:type="dxa" w:w="3120"/>
            <w:shd w:fill="F0F4FF"/>
          </w:tcPr>
          <w:p>
            <w:r/>
            <w:r>
              <w:rPr>
                <w:rFonts w:ascii="Arial" w:hAnsi="Arial"/>
                <w:sz w:val="20"/>
              </w:rPr>
              <w:t>Login data, IP addresses, session info</w:t>
            </w:r>
          </w:p>
        </w:tc>
      </w:tr>
      <w:tr>
        <w:tc>
          <w:tcPr>
            <w:tcW w:type="dxa" w:w="3120"/>
          </w:tcPr>
          <w:p>
            <w:r/>
            <w:r>
              <w:rPr>
                <w:rFonts w:ascii="Arial" w:hAnsi="Arial"/>
                <w:sz w:val="20"/>
              </w:rPr>
              <w:t>Improving the platform</w:t>
            </w:r>
          </w:p>
        </w:tc>
        <w:tc>
          <w:tcPr>
            <w:tcW w:type="dxa" w:w="3120"/>
          </w:tcPr>
          <w:p>
            <w:r/>
            <w:r>
              <w:rPr>
                <w:rFonts w:ascii="Arial" w:hAnsi="Arial"/>
                <w:sz w:val="20"/>
              </w:rPr>
              <w:t>Legitimate interest (Art. 6(1)(f))</w:t>
            </w:r>
          </w:p>
        </w:tc>
        <w:tc>
          <w:tcPr>
            <w:tcW w:type="dxa" w:w="3120"/>
          </w:tcPr>
          <w:p>
            <w:r/>
            <w:r>
              <w:rPr>
                <w:rFonts w:ascii="Arial" w:hAnsi="Arial"/>
                <w:sz w:val="20"/>
              </w:rPr>
              <w:t>Anonymised usage data</w:t>
            </w:r>
          </w:p>
        </w:tc>
      </w:tr>
    </w:tbl>
    <w:p/>
    <w:p>
      <w:pPr>
        <w:pStyle w:val="Heading1"/>
      </w:pPr>
      <w:r>
        <w:t>4. AI Processing</w:t>
      </w:r>
    </w:p>
    <w:p>
      <w:r>
        <w:t>Seema uses artificial intelligence (Claude by Anthropic) to analyse regulatory updates and provide impact assessments for your firm. When we use AI:</w:t>
      </w:r>
    </w:p>
    <w:p>
      <w:pPr>
        <w:pStyle w:val="ListBullet"/>
      </w:pPr>
      <w:r>
        <w:t>We send regulatory update text and your firm profile (practice areas, size, roles) to the AI model</w:t>
      </w:r>
    </w:p>
    <w:p>
      <w:pPr>
        <w:pStyle w:val="ListBullet"/>
      </w:pPr>
      <w:r>
        <w:t>We do not send individual client data, personal data of individuals, or confidential case information to the AI</w:t>
      </w:r>
    </w:p>
    <w:p>
      <w:pPr>
        <w:pStyle w:val="ListBullet"/>
      </w:pPr>
      <w:r>
        <w:t>AI outputs are recommendations only and should be reviewed by a qualified compliance professional</w:t>
      </w:r>
    </w:p>
    <w:p>
      <w:pPr>
        <w:pStyle w:val="ListBullet"/>
      </w:pPr>
      <w:r>
        <w:t>We use Anthropic’s API, which does not use your data for model training</w:t>
      </w:r>
    </w:p>
    <w:p>
      <w:pPr>
        <w:pStyle w:val="Heading1"/>
      </w:pPr>
      <w:r>
        <w:t>5. Data Sharing</w:t>
      </w:r>
    </w:p>
    <w:p>
      <w:r>
        <w:t>We do not sell your personal data. We share data only with:</w:t>
      </w:r>
    </w:p>
    <w:p>
      <w:pPr>
        <w:pStyle w:val="ListBullet"/>
      </w:pPr>
      <w:r>
        <w:t>Anthropic (AI analysis): receives firm profile and regulatory text only, under a Data Processing Agreement</w:t>
      </w:r>
    </w:p>
    <w:p>
      <w:pPr>
        <w:pStyle w:val="ListBullet"/>
      </w:pPr>
      <w:r>
        <w:t>SendGrid (email delivery): receives recipient email addresses and email content for chase/notification emails</w:t>
      </w:r>
    </w:p>
    <w:p>
      <w:pPr>
        <w:pStyle w:val="ListBullet"/>
      </w:pPr>
      <w:r>
        <w:t>Stripe (payments): receives billing contact details for subscription management</w:t>
      </w:r>
    </w:p>
    <w:p>
      <w:pPr>
        <w:pStyle w:val="ListBullet"/>
      </w:pPr>
      <w:r>
        <w:t>Cloud infrastructure providers: hosting, database, and CDN services with appropriate security measures</w:t>
      </w:r>
    </w:p>
    <w:p>
      <w:r>
        <w:t>All sub-processors are bound by Data Processing Agreements and process data only on our instructions.</w:t>
      </w:r>
    </w:p>
    <w:p>
      <w:pPr>
        <w:pStyle w:val="Heading1"/>
      </w:pPr>
      <w:r>
        <w:t>6. International Transfers</w:t>
      </w:r>
    </w:p>
    <w:p>
      <w:r>
        <w:t>Some of our sub-processors (Anthropic, SendGrid, Stripe) are based in the United States. We ensure adequate protection through:</w:t>
      </w:r>
    </w:p>
    <w:p>
      <w:pPr>
        <w:pStyle w:val="ListBullet"/>
      </w:pPr>
      <w:r>
        <w:t>EU-US Data Privacy Framework certifications where available</w:t>
      </w:r>
    </w:p>
    <w:p>
      <w:pPr>
        <w:pStyle w:val="ListBullet"/>
      </w:pPr>
      <w:r>
        <w:t>Standard Contractual Clauses (SCCs) approved by the UK ICO</w:t>
      </w:r>
    </w:p>
    <w:p>
      <w:pPr>
        <w:pStyle w:val="ListBullet"/>
      </w:pPr>
      <w:r>
        <w:t>Transfer Impact Assessments where required</w:t>
      </w:r>
    </w:p>
    <w:p>
      <w:pPr>
        <w:pStyle w:val="Heading1"/>
      </w:pPr>
      <w:r>
        <w:t>7. Data Retention</w:t>
      </w:r>
    </w:p>
    <w:tbl>
      <w:tblPr>
        <w:tblW w:type="auto" w:w="0"/>
        <w:jc w:val="center"/>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fill="1A1A2E"/>
          </w:tcPr>
          <w:p>
            <w:r/>
            <w:r>
              <w:rPr>
                <w:rFonts w:ascii="Arial" w:hAnsi="Arial"/>
                <w:b/>
                <w:color w:val="FFFFFF"/>
                <w:sz w:val="20"/>
              </w:rPr>
              <w:t>Data Type</w:t>
            </w:r>
          </w:p>
        </w:tc>
        <w:tc>
          <w:tcPr>
            <w:tcW w:type="dxa" w:w="3120"/>
            <w:shd w:fill="1A1A2E"/>
          </w:tcPr>
          <w:p>
            <w:r/>
            <w:r>
              <w:rPr>
                <w:rFonts w:ascii="Arial" w:hAnsi="Arial"/>
                <w:b/>
                <w:color w:val="FFFFFF"/>
                <w:sz w:val="20"/>
              </w:rPr>
              <w:t>Retention Period</w:t>
            </w:r>
          </w:p>
        </w:tc>
        <w:tc>
          <w:tcPr>
            <w:tcW w:type="dxa" w:w="3120"/>
            <w:shd w:fill="1A1A2E"/>
          </w:tcPr>
          <w:p>
            <w:r/>
            <w:r>
              <w:rPr>
                <w:rFonts w:ascii="Arial" w:hAnsi="Arial"/>
                <w:b/>
                <w:color w:val="FFFFFF"/>
                <w:sz w:val="20"/>
              </w:rPr>
              <w:t>Basis</w:t>
            </w:r>
          </w:p>
        </w:tc>
      </w:tr>
      <w:tr>
        <w:tc>
          <w:tcPr>
            <w:tcW w:type="dxa" w:w="3120"/>
            <w:shd w:fill="F0F4FF"/>
          </w:tcPr>
          <w:p>
            <w:r/>
            <w:r>
              <w:rPr>
                <w:rFonts w:ascii="Arial" w:hAnsi="Arial"/>
                <w:sz w:val="20"/>
              </w:rPr>
              <w:t>Account data</w:t>
            </w:r>
          </w:p>
        </w:tc>
        <w:tc>
          <w:tcPr>
            <w:tcW w:type="dxa" w:w="3120"/>
            <w:shd w:fill="F0F4FF"/>
          </w:tcPr>
          <w:p>
            <w:r/>
            <w:r>
              <w:rPr>
                <w:rFonts w:ascii="Arial" w:hAnsi="Arial"/>
                <w:sz w:val="20"/>
              </w:rPr>
              <w:t>Duration of contract + 12 months</w:t>
            </w:r>
          </w:p>
        </w:tc>
        <w:tc>
          <w:tcPr>
            <w:tcW w:type="dxa" w:w="3120"/>
            <w:shd w:fill="F0F4FF"/>
          </w:tcPr>
          <w:p>
            <w:r/>
            <w:r>
              <w:rPr>
                <w:rFonts w:ascii="Arial" w:hAnsi="Arial"/>
                <w:sz w:val="20"/>
              </w:rPr>
              <w:t>Contractual necessity</w:t>
            </w:r>
          </w:p>
        </w:tc>
      </w:tr>
      <w:tr>
        <w:tc>
          <w:tcPr>
            <w:tcW w:type="dxa" w:w="3120"/>
          </w:tcPr>
          <w:p>
            <w:r/>
            <w:r>
              <w:rPr>
                <w:rFonts w:ascii="Arial" w:hAnsi="Arial"/>
                <w:sz w:val="20"/>
              </w:rPr>
              <w:t>Staff and training records</w:t>
            </w:r>
          </w:p>
        </w:tc>
        <w:tc>
          <w:tcPr>
            <w:tcW w:type="dxa" w:w="3120"/>
          </w:tcPr>
          <w:p>
            <w:r/>
            <w:r>
              <w:rPr>
                <w:rFonts w:ascii="Arial" w:hAnsi="Arial"/>
                <w:sz w:val="20"/>
              </w:rPr>
              <w:t>Duration of contract + 6 years</w:t>
            </w:r>
          </w:p>
        </w:tc>
        <w:tc>
          <w:tcPr>
            <w:tcW w:type="dxa" w:w="3120"/>
          </w:tcPr>
          <w:p>
            <w:r/>
            <w:r>
              <w:rPr>
                <w:rFonts w:ascii="Arial" w:hAnsi="Arial"/>
                <w:sz w:val="20"/>
              </w:rPr>
              <w:t>SRA record-keeping requirements</w:t>
            </w:r>
          </w:p>
        </w:tc>
      </w:tr>
      <w:tr>
        <w:tc>
          <w:tcPr>
            <w:tcW w:type="dxa" w:w="3120"/>
            <w:shd w:fill="F0F4FF"/>
          </w:tcPr>
          <w:p>
            <w:r/>
            <w:r>
              <w:rPr>
                <w:rFonts w:ascii="Arial" w:hAnsi="Arial"/>
                <w:sz w:val="20"/>
              </w:rPr>
              <w:t>Client intake/CDD data</w:t>
            </w:r>
          </w:p>
        </w:tc>
        <w:tc>
          <w:tcPr>
            <w:tcW w:type="dxa" w:w="3120"/>
            <w:shd w:fill="F0F4FF"/>
          </w:tcPr>
          <w:p>
            <w:r/>
            <w:r>
              <w:rPr>
                <w:rFonts w:ascii="Arial" w:hAnsi="Arial"/>
                <w:sz w:val="20"/>
              </w:rPr>
              <w:t>Duration of contract + 5 years</w:t>
            </w:r>
          </w:p>
        </w:tc>
        <w:tc>
          <w:tcPr>
            <w:tcW w:type="dxa" w:w="3120"/>
            <w:shd w:fill="F0F4FF"/>
          </w:tcPr>
          <w:p>
            <w:r/>
            <w:r>
              <w:rPr>
                <w:rFonts w:ascii="Arial" w:hAnsi="Arial"/>
                <w:sz w:val="20"/>
              </w:rPr>
              <w:t>MLR 2017 requirements (Reg. 40)</w:t>
            </w:r>
          </w:p>
        </w:tc>
      </w:tr>
      <w:tr>
        <w:tc>
          <w:tcPr>
            <w:tcW w:type="dxa" w:w="3120"/>
          </w:tcPr>
          <w:p>
            <w:r/>
            <w:r>
              <w:rPr>
                <w:rFonts w:ascii="Arial" w:hAnsi="Arial"/>
                <w:sz w:val="20"/>
              </w:rPr>
              <w:t>Breach reports</w:t>
            </w:r>
          </w:p>
        </w:tc>
        <w:tc>
          <w:tcPr>
            <w:tcW w:type="dxa" w:w="3120"/>
          </w:tcPr>
          <w:p>
            <w:r/>
            <w:r>
              <w:rPr>
                <w:rFonts w:ascii="Arial" w:hAnsi="Arial"/>
                <w:sz w:val="20"/>
              </w:rPr>
              <w:t>Duration of contract + 6 years</w:t>
            </w:r>
          </w:p>
        </w:tc>
        <w:tc>
          <w:tcPr>
            <w:tcW w:type="dxa" w:w="3120"/>
          </w:tcPr>
          <w:p>
            <w:r/>
            <w:r>
              <w:rPr>
                <w:rFonts w:ascii="Arial" w:hAnsi="Arial"/>
                <w:sz w:val="20"/>
              </w:rPr>
              <w:t>Limitation Act 1980</w:t>
            </w:r>
          </w:p>
        </w:tc>
      </w:tr>
      <w:tr>
        <w:tc>
          <w:tcPr>
            <w:tcW w:type="dxa" w:w="3120"/>
            <w:shd w:fill="F0F4FF"/>
          </w:tcPr>
          <w:p>
            <w:r/>
            <w:r>
              <w:rPr>
                <w:rFonts w:ascii="Arial" w:hAnsi="Arial"/>
                <w:sz w:val="20"/>
              </w:rPr>
              <w:t>Audit trail</w:t>
            </w:r>
          </w:p>
        </w:tc>
        <w:tc>
          <w:tcPr>
            <w:tcW w:type="dxa" w:w="3120"/>
            <w:shd w:fill="F0F4FF"/>
          </w:tcPr>
          <w:p>
            <w:r/>
            <w:r>
              <w:rPr>
                <w:rFonts w:ascii="Arial" w:hAnsi="Arial"/>
                <w:sz w:val="20"/>
              </w:rPr>
              <w:t>Duration of contract + 6 years</w:t>
            </w:r>
          </w:p>
        </w:tc>
        <w:tc>
          <w:tcPr>
            <w:tcW w:type="dxa" w:w="3120"/>
            <w:shd w:fill="F0F4FF"/>
          </w:tcPr>
          <w:p>
            <w:r/>
            <w:r>
              <w:rPr>
                <w:rFonts w:ascii="Arial" w:hAnsi="Arial"/>
                <w:sz w:val="20"/>
              </w:rPr>
              <w:t>SRA compliance evidence</w:t>
            </w:r>
          </w:p>
        </w:tc>
      </w:tr>
      <w:tr>
        <w:tc>
          <w:tcPr>
            <w:tcW w:type="dxa" w:w="3120"/>
          </w:tcPr>
          <w:p>
            <w:r/>
            <w:r>
              <w:rPr>
                <w:rFonts w:ascii="Arial" w:hAnsi="Arial"/>
                <w:sz w:val="20"/>
              </w:rPr>
              <w:t>Login/session data</w:t>
            </w:r>
          </w:p>
        </w:tc>
        <w:tc>
          <w:tcPr>
            <w:tcW w:type="dxa" w:w="3120"/>
          </w:tcPr>
          <w:p>
            <w:r/>
            <w:r>
              <w:rPr>
                <w:rFonts w:ascii="Arial" w:hAnsi="Arial"/>
                <w:sz w:val="20"/>
              </w:rPr>
              <w:t>12 months</w:t>
            </w:r>
          </w:p>
        </w:tc>
        <w:tc>
          <w:tcPr>
            <w:tcW w:type="dxa" w:w="3120"/>
          </w:tcPr>
          <w:p>
            <w:r/>
            <w:r>
              <w:rPr>
                <w:rFonts w:ascii="Arial" w:hAnsi="Arial"/>
                <w:sz w:val="20"/>
              </w:rPr>
              <w:t>Security purposes</w:t>
            </w:r>
          </w:p>
        </w:tc>
      </w:tr>
      <w:tr>
        <w:tc>
          <w:tcPr>
            <w:tcW w:type="dxa" w:w="3120"/>
            <w:shd w:fill="F0F4FF"/>
          </w:tcPr>
          <w:p>
            <w:r/>
            <w:r>
              <w:rPr>
                <w:rFonts w:ascii="Arial" w:hAnsi="Arial"/>
                <w:sz w:val="20"/>
              </w:rPr>
              <w:t>Regulatory updates</w:t>
            </w:r>
          </w:p>
        </w:tc>
        <w:tc>
          <w:tcPr>
            <w:tcW w:type="dxa" w:w="3120"/>
            <w:shd w:fill="F0F4FF"/>
          </w:tcPr>
          <w:p>
            <w:r/>
            <w:r>
              <w:rPr>
                <w:rFonts w:ascii="Arial" w:hAnsi="Arial"/>
                <w:sz w:val="20"/>
              </w:rPr>
              <w:t>Indefinitely (public data)</w:t>
            </w:r>
          </w:p>
        </w:tc>
        <w:tc>
          <w:tcPr>
            <w:tcW w:type="dxa" w:w="3120"/>
            <w:shd w:fill="F0F4FF"/>
          </w:tcPr>
          <w:p>
            <w:r/>
            <w:r>
              <w:rPr>
                <w:rFonts w:ascii="Arial" w:hAnsi="Arial"/>
                <w:sz w:val="20"/>
              </w:rPr>
              <w:t>Legitimate interest</w:t>
            </w:r>
          </w:p>
        </w:tc>
      </w:tr>
    </w:tbl>
    <w:p/>
    <w:p>
      <w:pPr>
        <w:pStyle w:val="Heading1"/>
      </w:pPr>
      <w:r>
        <w:t>8. Your Rights</w:t>
      </w:r>
    </w:p>
    <w:p>
      <w:r>
        <w:t>Under UK GDPR, you have the right to:</w:t>
      </w:r>
    </w:p>
    <w:p>
      <w:pPr>
        <w:pStyle w:val="ListBullet"/>
      </w:pPr>
      <w:r>
        <w:t>Access: request a copy of your personal data (Subject Access Request)</w:t>
      </w:r>
    </w:p>
    <w:p>
      <w:pPr>
        <w:pStyle w:val="ListBullet"/>
      </w:pPr>
      <w:r>
        <w:t>Rectification: correct inaccurate personal data</w:t>
      </w:r>
    </w:p>
    <w:p>
      <w:pPr>
        <w:pStyle w:val="ListBullet"/>
      </w:pPr>
      <w:r>
        <w:t>Erasure: request deletion of your data (subject to legal retention obligations)</w:t>
      </w:r>
    </w:p>
    <w:p>
      <w:pPr>
        <w:pStyle w:val="ListBullet"/>
      </w:pPr>
      <w:r>
        <w:t>Restriction: limit how we process your data</w:t>
      </w:r>
    </w:p>
    <w:p>
      <w:pPr>
        <w:pStyle w:val="ListBullet"/>
      </w:pPr>
      <w:r>
        <w:t>Portability: receive your data in a machine-readable format</w:t>
      </w:r>
    </w:p>
    <w:p>
      <w:pPr>
        <w:pStyle w:val="ListBullet"/>
      </w:pPr>
      <w:r>
        <w:t>Object: object to processing based on legitimate interest</w:t>
      </w:r>
    </w:p>
    <w:p>
      <w:pPr>
        <w:pStyle w:val="ListBullet"/>
      </w:pPr>
      <w:r>
        <w:t>Withdraw consent: where processing is based on consent</w:t>
      </w:r>
    </w:p>
    <w:p>
      <w:r>
        <w:t>To exercise these rights, contact privacy@seemaai.co.uk. We will respond within one month.</w:t>
      </w:r>
    </w:p>
    <w:p>
      <w:pPr>
        <w:pStyle w:val="Heading1"/>
      </w:pPr>
      <w:r>
        <w:t>9. Data Security</w:t>
      </w:r>
    </w:p>
    <w:p>
      <w:r>
        <w:t>We implement appropriate technical and organisational measures to protect your data, including:</w:t>
      </w:r>
    </w:p>
    <w:p>
      <w:pPr>
        <w:pStyle w:val="ListBullet"/>
      </w:pPr>
      <w:r>
        <w:t>Encryption in transit (TLS 1.2+) and at rest (AES-256)</w:t>
      </w:r>
    </w:p>
    <w:p>
      <w:pPr>
        <w:pStyle w:val="ListBullet"/>
      </w:pPr>
      <w:r>
        <w:t>Role-based access control with principle of least privilege</w:t>
      </w:r>
    </w:p>
    <w:p>
      <w:pPr>
        <w:pStyle w:val="ListBullet"/>
      </w:pPr>
      <w:r>
        <w:t>Multi-tenancy isolation ensuring firms cannot access each other’s data</w:t>
      </w:r>
    </w:p>
    <w:p>
      <w:pPr>
        <w:pStyle w:val="ListBullet"/>
      </w:pPr>
      <w:r>
        <w:t>Regular security assessments and penetration testing</w:t>
      </w:r>
    </w:p>
    <w:p>
      <w:pPr>
        <w:pStyle w:val="ListBullet"/>
      </w:pPr>
      <w:r>
        <w:t>Incident response procedures with defined escalation paths</w:t>
      </w:r>
    </w:p>
    <w:p>
      <w:pPr>
        <w:pStyle w:val="ListBullet"/>
      </w:pPr>
      <w:r>
        <w:t>Employee security awareness training</w:t>
      </w:r>
    </w:p>
    <w:p>
      <w:pPr>
        <w:pStyle w:val="Heading1"/>
      </w:pPr>
      <w:r>
        <w:t>10. Cookies</w:t>
      </w:r>
    </w:p>
    <w:p>
      <w:r>
        <w:t>See our separate Cookie Policy for details on cookies and similar technologies used on our platform.</w:t>
      </w:r>
    </w:p>
    <w:p>
      <w:pPr>
        <w:pStyle w:val="Heading1"/>
      </w:pPr>
      <w:r>
        <w:t>11. Children</w:t>
      </w:r>
    </w:p>
    <w:p>
      <w:r>
        <w:t>Seema is a business-to-business platform not intended for use by children under 18. We do not knowingly collect personal data from children.</w:t>
      </w:r>
    </w:p>
    <w:p>
      <w:pPr>
        <w:pStyle w:val="Heading1"/>
      </w:pPr>
      <w:r>
        <w:t>12. Changes to This Policy</w:t>
      </w:r>
    </w:p>
    <w:p>
      <w:r>
        <w:t>We may update this policy from time to time. We will notify you of material changes via email or platform notification. The "Last updated" date at the top of this policy indicates when it was last revised.</w:t>
      </w:r>
    </w:p>
    <w:p>
      <w:pPr>
        <w:pStyle w:val="Heading1"/>
      </w:pPr>
      <w:r>
        <w:t>13. Complaints</w:t>
      </w:r>
    </w:p>
    <w:p>
      <w:r>
        <w:t>If you are unhappy with how we handle your data, you have the right to lodge a complaint with the Information Commissioner’s Office (ICO):</w:t>
      </w:r>
    </w:p>
    <w:p>
      <w:r>
        <w:t>Website: ico.org.uk</w:t>
      </w:r>
    </w:p>
    <w:p>
      <w:r>
        <w:t>Telephone: 0303 123 1113</w:t>
      </w:r>
    </w:p>
    <w:p>
      <w:pPr>
        <w:pStyle w:val="Heading1"/>
      </w:pPr>
      <w:r>
        <w:t>14. Contact Us</w:t>
      </w:r>
    </w:p>
    <w:p>
      <w:r>
        <w:t>Data Protection queries: privacy@seemaai.co.uk</w:t>
      </w:r>
    </w:p>
    <w:p>
      <w:r>
        <w:t>General queries: support@seemaai.co.uk</w:t>
      </w:r>
    </w:p>
    <w:p>
      <w:r>
        <w:t>Post: Seema AI Ltd, [REGISTERED ADDRESS]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Seema AI Ltd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4A6CF7"/>
        <w:sz w:val="18"/>
      </w:rPr>
      <w:t>SEEMA</w:t>
    </w:r>
    <w:r>
      <w:rPr>
        <w:rFonts w:ascii="Arial" w:hAnsi="Arial"/>
        <w:color w:val="666666"/>
        <w:sz w:val="16"/>
      </w:rPr>
      <w:t xml:space="preserve">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