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3366"/>
          <w:sz w:val="44"/>
        </w:rPr>
        <w:t>FOUNDATIONAL DATA ANALYTICS REPORT:</w:t>
        <w:br/>
        <w:t>EXPLORATION &amp; STRATEGY OUTLINE</w:t>
      </w:r>
    </w:p>
    <w:p>
      <w:pPr>
        <w:jc w:val="center"/>
      </w:pPr>
      <w:r>
        <w:rPr>
          <w:rFonts w:ascii="Calibri" w:hAnsi="Calibri"/>
          <w:i/>
          <w:color w:val="646464"/>
          <w:sz w:val="28"/>
        </w:rPr>
        <w:t>Dataset Exploration, Problem Definition, and Analysis Strategy</w:t>
      </w:r>
    </w:p>
    <w:p>
      <w:pPr>
        <w:spacing w:after="400"/>
      </w:pPr>
    </w:p>
    <w:p>
      <w:pPr>
        <w:pStyle w:val="Heading1"/>
        <w:spacing w:before="240" w:after="120"/>
      </w:pPr>
      <w:r>
        <w:rPr>
          <w:rFonts w:ascii="Calibri" w:hAnsi="Calibri"/>
          <w:color w:val="003366"/>
        </w:rPr>
        <w:t>1. Executive Summary &amp; Dataset Overview</w:t>
      </w:r>
    </w:p>
    <w:p>
      <w:pPr>
        <w:spacing w:after="200"/>
      </w:pPr>
      <w:r>
        <w:t>This foundational report outlines the initial exploratory data analysis (EDA), problem statement, and strategic roadmap for analyzing the Superstore Retail Sales Dataset (sourced from Kaggle). The primary goal is to examine transactional records to uncover profitability drivers, evaluate regional performance disparities, and optimize discount structures.</w:t>
      </w:r>
    </w:p>
    <w:p>
      <w:r>
        <w:rPr>
          <w:b/>
        </w:rPr>
        <w:t>Dataset Summary:</w:t>
        <w:br/>
      </w:r>
      <w:r>
        <w:t>• Source: Public Superstore Sales Dataset (Kaggle)</w:t>
        <w:br/>
      </w:r>
      <w:r>
        <w:t>• Dimensions: 9,994 records (rows) across 21 attributes (columns)</w:t>
        <w:br/>
      </w:r>
      <w:r>
        <w:t>• Primary Entities: Customer Segments, Product Categories, Regional Hubs, Order Metrics</w:t>
      </w:r>
    </w:p>
    <w:p>
      <w:pPr>
        <w:pStyle w:val="Heading1"/>
        <w:spacing w:before="240" w:after="120"/>
      </w:pPr>
      <w:r>
        <w:rPr>
          <w:rFonts w:ascii="Calibri" w:hAnsi="Calibri"/>
          <w:color w:val="003366"/>
        </w:rPr>
        <w:t>2. Variable Classification &amp; Data Types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FFFFFF"/>
              </w:rPr>
              <w:t>Variable Name</w:t>
            </w:r>
          </w:p>
        </w:tc>
        <w:tc>
          <w:tcPr>
            <w:tcW w:type="dxa" w:w="3120"/>
          </w:tcPr>
          <w:p>
            <w:r>
              <w:rPr>
                <w:b/>
                <w:color w:val="FFFFFF"/>
              </w:rPr>
              <w:t>Data Type &amp; Measurement Scale</w:t>
            </w:r>
          </w:p>
        </w:tc>
        <w:tc>
          <w:tcPr>
            <w:tcW w:type="dxa" w:w="3120"/>
          </w:tcPr>
          <w:p>
            <w:r>
              <w:rPr>
                <w:b/>
                <w:color w:val="FFFFFF"/>
              </w:rPr>
              <w:t>Description / Strategic Relevance</w:t>
            </w:r>
          </w:p>
        </w:tc>
      </w:tr>
      <w:tr>
        <w:tc>
          <w:tcPr>
            <w:tcW w:type="dxa" w:w="3120"/>
          </w:tcPr>
          <w:p>
            <w:r>
              <w:t>Ship Mode</w:t>
            </w:r>
          </w:p>
        </w:tc>
        <w:tc>
          <w:tcPr>
            <w:tcW w:type="dxa" w:w="3120"/>
          </w:tcPr>
          <w:p>
            <w:r>
              <w:t>Categorical (Nominal)</w:t>
            </w:r>
          </w:p>
        </w:tc>
        <w:tc>
          <w:tcPr>
            <w:tcW w:type="dxa" w:w="3120"/>
          </w:tcPr>
          <w:p>
            <w:r>
              <w:t>Shipping method (Standard, Second, First, Same Day)</w:t>
            </w:r>
          </w:p>
        </w:tc>
      </w:tr>
      <w:tr>
        <w:tc>
          <w:tcPr>
            <w:tcW w:type="dxa" w:w="3120"/>
          </w:tcPr>
          <w:p>
            <w:r>
              <w:t>Segment</w:t>
            </w:r>
          </w:p>
        </w:tc>
        <w:tc>
          <w:tcPr>
            <w:tcW w:type="dxa" w:w="3120"/>
          </w:tcPr>
          <w:p>
            <w:r>
              <w:t>Categorical (Nominal)</w:t>
            </w:r>
          </w:p>
        </w:tc>
        <w:tc>
          <w:tcPr>
            <w:tcW w:type="dxa" w:w="3120"/>
          </w:tcPr>
          <w:p>
            <w:r>
              <w:t>Target market segment (Consumer, Corporate, Home Office)</w:t>
            </w:r>
          </w:p>
        </w:tc>
      </w:tr>
      <w:tr>
        <w:tc>
          <w:tcPr>
            <w:tcW w:type="dxa" w:w="3120"/>
          </w:tcPr>
          <w:p>
            <w:r>
              <w:t>Region</w:t>
            </w:r>
          </w:p>
        </w:tc>
        <w:tc>
          <w:tcPr>
            <w:tcW w:type="dxa" w:w="3120"/>
          </w:tcPr>
          <w:p>
            <w:r>
              <w:t>Categorical (Nominal)</w:t>
            </w:r>
          </w:p>
        </w:tc>
        <w:tc>
          <w:tcPr>
            <w:tcW w:type="dxa" w:w="3120"/>
          </w:tcPr>
          <w:p>
            <w:r>
              <w:t>Geographic distribution hub (East, West, Central, South)</w:t>
            </w:r>
          </w:p>
        </w:tc>
      </w:tr>
      <w:tr>
        <w:tc>
          <w:tcPr>
            <w:tcW w:type="dxa" w:w="3120"/>
          </w:tcPr>
          <w:p>
            <w:r>
              <w:t>Category / Sub-Category</w:t>
            </w:r>
          </w:p>
        </w:tc>
        <w:tc>
          <w:tcPr>
            <w:tcW w:type="dxa" w:w="3120"/>
          </w:tcPr>
          <w:p>
            <w:r>
              <w:t>Categorical (Nominal)</w:t>
            </w:r>
          </w:p>
        </w:tc>
        <w:tc>
          <w:tcPr>
            <w:tcW w:type="dxa" w:w="3120"/>
          </w:tcPr>
          <w:p>
            <w:r>
              <w:t>Product hierarchy (Furniture, Office Supplies, Technology)</w:t>
            </w:r>
          </w:p>
        </w:tc>
      </w:tr>
      <w:tr>
        <w:tc>
          <w:tcPr>
            <w:tcW w:type="dxa" w:w="3120"/>
          </w:tcPr>
          <w:p>
            <w:r>
              <w:t>Sales</w:t>
            </w:r>
          </w:p>
        </w:tc>
        <w:tc>
          <w:tcPr>
            <w:tcW w:type="dxa" w:w="3120"/>
          </w:tcPr>
          <w:p>
            <w:r>
              <w:t>Numerical (Continuous)</w:t>
            </w:r>
          </w:p>
        </w:tc>
        <w:tc>
          <w:tcPr>
            <w:tcW w:type="dxa" w:w="3120"/>
          </w:tcPr>
          <w:p>
            <w:r>
              <w:t>Gross monetary revenue generated per order line item</w:t>
            </w:r>
          </w:p>
        </w:tc>
      </w:tr>
      <w:tr>
        <w:tc>
          <w:tcPr>
            <w:tcW w:type="dxa" w:w="3120"/>
          </w:tcPr>
          <w:p>
            <w:r>
              <w:t>Quantity</w:t>
            </w:r>
          </w:p>
        </w:tc>
        <w:tc>
          <w:tcPr>
            <w:tcW w:type="dxa" w:w="3120"/>
          </w:tcPr>
          <w:p>
            <w:r>
              <w:t>Numerical (Discrete)</w:t>
            </w:r>
          </w:p>
        </w:tc>
        <w:tc>
          <w:tcPr>
            <w:tcW w:type="dxa" w:w="3120"/>
          </w:tcPr>
          <w:p>
            <w:r>
              <w:t>Number of units purchased per transaction</w:t>
            </w:r>
          </w:p>
        </w:tc>
      </w:tr>
      <w:tr>
        <w:tc>
          <w:tcPr>
            <w:tcW w:type="dxa" w:w="3120"/>
          </w:tcPr>
          <w:p>
            <w:r>
              <w:t>Discount</w:t>
            </w:r>
          </w:p>
        </w:tc>
        <w:tc>
          <w:tcPr>
            <w:tcW w:type="dxa" w:w="3120"/>
          </w:tcPr>
          <w:p>
            <w:r>
              <w:t>Numerical (Continuous)</w:t>
            </w:r>
          </w:p>
        </w:tc>
        <w:tc>
          <w:tcPr>
            <w:tcW w:type="dxa" w:w="3120"/>
          </w:tcPr>
          <w:p>
            <w:r>
              <w:t>Percentage price reduction applied (0.0 to 0.8)</w:t>
            </w:r>
          </w:p>
        </w:tc>
      </w:tr>
      <w:tr>
        <w:tc>
          <w:tcPr>
            <w:tcW w:type="dxa" w:w="3120"/>
          </w:tcPr>
          <w:p>
            <w:r>
              <w:t>Profit</w:t>
            </w:r>
          </w:p>
        </w:tc>
        <w:tc>
          <w:tcPr>
            <w:tcW w:type="dxa" w:w="3120"/>
          </w:tcPr>
          <w:p>
            <w:r>
              <w:t>Numerical (Continuous)</w:t>
            </w:r>
          </w:p>
        </w:tc>
        <w:tc>
          <w:tcPr>
            <w:tcW w:type="dxa" w:w="3120"/>
          </w:tcPr>
          <w:p>
            <w:r>
              <w:t>Net profit or loss realized after costs</w:t>
            </w:r>
          </w:p>
        </w:tc>
      </w:tr>
    </w:tbl>
    <w:p>
      <w:pPr>
        <w:spacing w:after="240"/>
      </w:pPr>
    </w:p>
    <w:p>
      <w:pPr>
        <w:pStyle w:val="Heading1"/>
        <w:spacing w:before="240" w:after="120"/>
      </w:pPr>
      <w:r>
        <w:rPr>
          <w:rFonts w:ascii="Calibri" w:hAnsi="Calibri"/>
          <w:color w:val="003366"/>
        </w:rPr>
        <w:t>3. Exploratory Data Analysis Workflow &amp; Python Implementation</w:t>
      </w:r>
    </w:p>
    <w:p>
      <w:r>
        <w:t>Data hygiene and descriptive statistics were computed using Python (Pandas, Numpy, Seaborn). The following snippet demonstrates data loading, deduplication, missing value imputation, and correlation evaluation:</w:t>
      </w:r>
    </w:p>
    <w:p>
      <w:pPr>
        <w:ind w:left="288"/>
      </w:pPr>
      <w:r>
        <w:rPr>
          <w:rFonts w:ascii="Courier New" w:hAnsi="Courier New"/>
          <w:sz w:val="19"/>
        </w:rPr>
        <w:t>import pandas as pd</w:t>
        <w:br/>
        <w:t>import numpy as np</w:t>
        <w:br/>
        <w:t>import seaborn as sns</w:t>
        <w:br/>
        <w:t>import matplotlib.pyplot as plt</w:t>
        <w:br/>
        <w:br/>
        <w:t># 1. Load &amp; Inspect Dataset</w:t>
        <w:br/>
        <w:t>df = pd.read_csv('superstore_sales.csv')</w:t>
        <w:br/>
        <w:t>print('Dataset Shape:', df.shape)</w:t>
        <w:br/>
        <w:br/>
        <w:t># 2. Cleaning &amp; Missing Value Handling</w:t>
        <w:br/>
        <w:t>df = df.drop_duplicates()</w:t>
        <w:br/>
        <w:t>df['Postal Code'] = df['Postal Code'].fillna(df['Postal Code'].mode()[0])</w:t>
        <w:br/>
        <w:br/>
        <w:t># 3. Statistical Summary</w:t>
        <w:br/>
        <w:t>summary_stats = df[['Sales', 'Quantity', 'Discount', 'Profit']].describe()</w:t>
        <w:br/>
        <w:br/>
        <w:t># 4. Heatmap &amp; Correlation Matrix</w:t>
        <w:br/>
        <w:t>plt.figure(figsize=(8, 5))</w:t>
        <w:br/>
        <w:t>sns.heatmap(df[['Sales', 'Quantity', 'Discount', 'Profit']].corr(), annot=True, cmap='Blues')</w:t>
        <w:br/>
        <w:t>plt.title('Feature Correlation Matrix')</w:t>
        <w:br/>
        <w:t>plt.savefig('correlation_matrix.png')</w:t>
      </w:r>
    </w:p>
    <w:p>
      <w:pPr>
        <w:pStyle w:val="Heading1"/>
        <w:spacing w:before="240" w:after="120"/>
      </w:pPr>
      <w:r>
        <w:rPr>
          <w:rFonts w:ascii="Calibri" w:hAnsi="Calibri"/>
          <w:color w:val="003366"/>
        </w:rPr>
        <w:t>4. Problem Definition Statement &amp; Analytical Hypotheses</w:t>
      </w:r>
    </w:p>
    <w:p>
      <w:r>
        <w:rPr>
          <w:b/>
        </w:rPr>
        <w:t>Problem Statement:</w:t>
        <w:br/>
        <w:t>Despite achieving strong top-line sales growth across regional markets, retail entities experience severe profit margin erosion due to unmonitored discounting strategies and higher fulfillment overheads in specific product sub-categories.</w:t>
      </w:r>
    </w:p>
    <w:p>
      <w:r>
        <w:rPr>
          <w:b/>
        </w:rPr>
        <w:t>Key Analytical Questions &amp; Hypotheses:</w:t>
        <w:br/>
      </w:r>
      <w:r>
        <w:t>1. Q1: Which product sub-categories consistently drive negative profit margins despite high sales volume?</w:t>
        <w:br/>
      </w:r>
      <w:r>
        <w:t>2. Q2: What is the optimal discount threshold before gross profit margins become negative?</w:t>
        <w:br/>
        <w:br/>
      </w:r>
      <w:r>
        <w:t>• Hypothesis 1 (H₁): Order discount rates exceeding 20% cause a statistically significant drop in net profit per order item.</w:t>
        <w:br/>
      </w:r>
      <w:r>
        <w:t>• Hypothesis 2 (H₂): Regional profitability varies significantly based on logistics and choice of shipping mode.</w:t>
      </w:r>
    </w:p>
    <w:p>
      <w:pPr>
        <w:pStyle w:val="Heading1"/>
        <w:spacing w:before="240" w:after="120"/>
      </w:pPr>
      <w:r>
        <w:rPr>
          <w:rFonts w:ascii="Calibri" w:hAnsi="Calibri"/>
          <w:color w:val="003366"/>
        </w:rPr>
        <w:t>5. Proposed Analysis Strategy &amp; Methodology</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t>Phase</w:t>
            </w:r>
          </w:p>
        </w:tc>
        <w:tc>
          <w:tcPr>
            <w:tcW w:type="dxa" w:w="3120"/>
          </w:tcPr>
          <w:p>
            <w:r>
              <w:t>Proposed Method / Tool</w:t>
            </w:r>
          </w:p>
        </w:tc>
        <w:tc>
          <w:tcPr>
            <w:tcW w:type="dxa" w:w="3120"/>
          </w:tcPr>
          <w:p>
            <w:r>
              <w:t>Expected Milestone / Outcome</w:t>
            </w:r>
          </w:p>
        </w:tc>
      </w:tr>
      <w:tr>
        <w:tc>
          <w:tcPr>
            <w:tcW w:type="dxa" w:w="3120"/>
          </w:tcPr>
          <w:p>
            <w:r>
              <w:t>Phase 1: Data Preprocessing</w:t>
            </w:r>
          </w:p>
        </w:tc>
        <w:tc>
          <w:tcPr>
            <w:tcW w:type="dxa" w:w="3120"/>
          </w:tcPr>
          <w:p>
            <w:r>
              <w:t>Pandas (IQR outlier clipping, One-Hot Encoding)</w:t>
            </w:r>
          </w:p>
        </w:tc>
        <w:tc>
          <w:tcPr>
            <w:tcW w:type="dxa" w:w="3120"/>
          </w:tcPr>
          <w:p>
            <w:r>
              <w:t>Clean, transformed dataset with standardized numeric scale.</w:t>
            </w:r>
          </w:p>
        </w:tc>
      </w:tr>
      <w:tr>
        <w:tc>
          <w:tcPr>
            <w:tcW w:type="dxa" w:w="3120"/>
          </w:tcPr>
          <w:p>
            <w:r>
              <w:t>Phase 2: Exploratory Visualization</w:t>
            </w:r>
          </w:p>
        </w:tc>
        <w:tc>
          <w:tcPr>
            <w:tcW w:type="dxa" w:w="3120"/>
          </w:tcPr>
          <w:p>
            <w:r>
              <w:t>Seaborn / Matplotlib (Boxplots, FacetGrid)</w:t>
            </w:r>
          </w:p>
        </w:tc>
        <w:tc>
          <w:tcPr>
            <w:tcW w:type="dxa" w:w="3120"/>
          </w:tcPr>
          <w:p>
            <w:r>
              <w:t>Identification of extreme loss-making categories and regional trends.</w:t>
            </w:r>
          </w:p>
        </w:tc>
      </w:tr>
      <w:tr>
        <w:tc>
          <w:tcPr>
            <w:tcW w:type="dxa" w:w="3120"/>
          </w:tcPr>
          <w:p>
            <w:r>
              <w:t>Phase 3: Statistical Hypothesis Testing</w:t>
            </w:r>
          </w:p>
        </w:tc>
        <w:tc>
          <w:tcPr>
            <w:tcW w:type="dxa" w:w="3120"/>
          </w:tcPr>
          <w:p>
            <w:r>
              <w:t>SciPy (Two-Sample t-Tests, ANOVA)</w:t>
            </w:r>
          </w:p>
        </w:tc>
        <w:tc>
          <w:tcPr>
            <w:tcW w:type="dxa" w:w="3120"/>
          </w:tcPr>
          <w:p>
            <w:r>
              <w:t>Statistical validation of discounting impact on gross profit margins.</w:t>
            </w:r>
          </w:p>
        </w:tc>
      </w:tr>
      <w:tr>
        <w:tc>
          <w:tcPr>
            <w:tcW w:type="dxa" w:w="3120"/>
          </w:tcPr>
          <w:p>
            <w:r>
              <w:t>Phase 4: Predictive Modeling Prep</w:t>
            </w:r>
          </w:p>
        </w:tc>
        <w:tc>
          <w:tcPr>
            <w:tcW w:type="dxa" w:w="3120"/>
          </w:tcPr>
          <w:p>
            <w:r>
              <w:t>Scikit-Learn (Linear &amp; Ridge Regression)</w:t>
            </w:r>
          </w:p>
        </w:tc>
        <w:tc>
          <w:tcPr>
            <w:tcW w:type="dxa" w:w="3120"/>
          </w:tcPr>
          <w:p>
            <w:r>
              <w:t>Baseline regression pipeline for profit and sales forecasting.</w:t>
            </w:r>
          </w:p>
        </w:tc>
      </w:tr>
    </w:tbl>
    <w:p>
      <w:pPr>
        <w:spacing w:after="240"/>
      </w:pPr>
    </w:p>
    <w:p>
      <w:pPr>
        <w:pStyle w:val="Heading1"/>
        <w:spacing w:before="240" w:after="120"/>
      </w:pPr>
      <w:r>
        <w:rPr>
          <w:rFonts w:ascii="Calibri" w:hAnsi="Calibri"/>
          <w:color w:val="003366"/>
        </w:rPr>
        <w:t>6. Data Limitations &amp; Future Work</w:t>
      </w:r>
    </w:p>
    <w:p>
      <w:r>
        <w:rPr>
          <w:b/>
        </w:rPr>
        <w:t>Limitations:</w:t>
        <w:br/>
      </w:r>
      <w:r>
        <w:t>• The dataset lacks individual customer demographic parameters (e.g., age, household income), restricting detailed persona analysis.</w:t>
        <w:br/>
      </w:r>
      <w:r>
        <w:t>• External macroeconomic indicators (inflation rates, regional tax dynamics) are omitted, which limits market force modeling.</w:t>
        <w:br/>
        <w:br/>
      </w:r>
      <w:r>
        <w:rPr>
          <w:b/>
        </w:rPr>
        <w:t>Future Scope:</w:t>
        <w:br/>
      </w:r>
      <w:r>
        <w:t>• Incorporating time-series forecasting (ARIMA / Prophet) to predict seasonal sales surges and optimize inventory replenishment cycles.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