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Rubber Duck / Agentic RAG — Consolidated Audit Results</w:t>
      </w:r>
    </w:p>
    <w:p>
      <w:pPr>
        <w:spacing w:after="120"/>
      </w:pPr>
      <w:r>
        <w:t>Generated document compiling security traces, tooling outcomes, medical/HIPAA gap analysis, and methodology comparison. Domain: healthcare-oriented document RAG (FastAPI, React, OpenAI, Pinecone, PDF/CSV ingestion).</w:t>
      </w:r>
    </w:p>
    <w:p>
      <w:pPr>
        <w:spacing w:after="120"/>
      </w:pPr>
      <w:r>
        <w:t>Compilation date: April 16, 2026.</w:t>
      </w:r>
    </w:p>
    <w:p>
      <w:pPr>
        <w:pStyle w:val="Heading1"/>
      </w:pPr>
      <w:r>
        <w:t>1. Repository &amp; run verification</w:t>
      </w:r>
    </w:p>
    <w:p>
      <w:pPr>
        <w:pStyle w:val="ListBullet"/>
      </w:pPr>
      <w:r>
        <w:t>Remote: origin/main (faizanarshad/rubber_duck); git pull reported already up to date.</w:t>
      </w:r>
    </w:p>
    <w:p>
      <w:pPr>
        <w:pStyle w:val="ListBullet"/>
      </w:pPr>
      <w:r>
        <w:t>Backend: import main OK; GET /health returned healthy JSON when server started locally.</w:t>
      </w:r>
    </w:p>
    <w:p>
      <w:pPr>
        <w:pStyle w:val="ListBullet"/>
      </w:pPr>
      <w:r>
        <w:t>Frontend: npm run build (tsc + vite) succeeded.</w:t>
      </w:r>
    </w:p>
    <w:p>
      <w:pPr>
        <w:pStyle w:val="Heading1"/>
      </w:pPr>
      <w:r>
        <w:t>2. MCP configuration (summary)</w:t>
      </w:r>
    </w:p>
    <w:p>
      <w:pPr>
        <w:spacing w:after="120"/>
      </w:pPr>
      <w:r>
        <w:t>Cursor MCP (~/.cursor/mcp.json) configured for rubberduck-codebase-intelligence and rubberduck-semantic-intelligence (HTTPS endpoints; Authorization: Bearer token — not reproduced in this document). Restart Cursor after changes to reload MCP servers.</w:t>
      </w:r>
    </w:p>
    <w:p>
      <w:pPr>
        <w:pStyle w:val="Heading1"/>
      </w:pPr>
      <w:r>
        <w:t>3. Semantic intelligence: load_code</w:t>
      </w:r>
    </w:p>
    <w:p>
      <w:pPr>
        <w:pStyle w:val="ListBullet"/>
      </w:pPr>
      <w:r>
        <w:t>Repo loaded: faizanarshad/rubber_duck (max_files=100).</w:t>
      </w:r>
    </w:p>
    <w:p>
      <w:pPr>
        <w:pStyle w:val="ListBullet"/>
      </w:pPr>
      <w:r>
        <w:t>Errors: 0; total Python files reported in snapshot: 6360 (includes vendored paths on server).</w:t>
      </w:r>
    </w:p>
    <w:p>
      <w:pPr>
        <w:pStyle w:val="ListBullet"/>
      </w:pPr>
      <w:r>
        <w:t>Sample analysis_ids: routes_chat, routes_files, main, config, rag_service, vectordb_service, etc.</w:t>
      </w:r>
    </w:p>
    <w:p>
      <w:pPr>
        <w:pStyle w:val="Heading1"/>
      </w:pPr>
      <w:r>
        <w:t>4. Codebase-intelligence security tooling</w:t>
      </w:r>
    </w:p>
    <w:p>
      <w:pPr>
        <w:pStyle w:val="ListBullet"/>
      </w:pPr>
      <w:r>
        <w:t>get_security_report: not exposed as a named MCP tool in this Cursor environment.</w:t>
      </w:r>
    </w:p>
    <w:p>
      <w:pPr>
        <w:pStyle w:val="ListBullet"/>
      </w:pPr>
      <w:r>
        <w:t>assess(mode=security) with OWASP LLM Top 10 scope: verdict clean, 0 findings, 50 files; CI findings unavailable; codebase_intelligence fusion false.</w:t>
      </w:r>
    </w:p>
    <w:p>
      <w:pPr>
        <w:pStyle w:val="ListBullet"/>
      </w:pPr>
      <w:r>
        <w:t>assess(mode=repo_quality): cached metrics for faizanarshad/rubber_duck (e.g. overall health ~89.5, grade A) — quality, not HIPAA.</w:t>
      </w:r>
    </w:p>
    <w:p>
      <w:pPr>
        <w:pStyle w:val="ListBullet"/>
      </w:pPr>
      <w:r>
        <w:t>discover/list_repos + index list: repos known but indexing status NOT_INDEXED at time of check.</w:t>
      </w:r>
    </w:p>
    <w:p>
      <w:pPr>
        <w:pStyle w:val="Heading1"/>
      </w:pPr>
      <w:r>
        <w:t>5. Path audit (loaded analyzer/web scope — not main backend RAG)</w:t>
      </w:r>
    </w:p>
    <w:p>
      <w:pPr>
        <w:spacing w:after="120"/>
      </w:pPr>
      <w:r>
        <w:t>Note: This pass targeted FastAPI modules loaded in Rubber Duck (e.g. analysis.py, jobs.py, sessions.py, synthesis.py), not necessarily the Agentic RAG backend/ tree.</w:t>
      </w:r>
    </w:p>
    <w:p>
      <w:pPr>
        <w:pStyle w:val="ListBullet"/>
      </w:pPr>
      <w:r>
        <w:t>Entry points: APIRouter handlers (upload, job status, sessions, synthesis reports).</w:t>
      </w:r>
    </w:p>
    <w:p>
      <w:pPr>
        <w:pStyle w:val="ListBullet"/>
      </w:pPr>
      <w:r>
        <w:t>High risk (example): UploadFile.filename → _save_upload → dest.write_bytes — path traversal / unsafe filename if unsanitized.</w:t>
      </w:r>
    </w:p>
    <w:p>
      <w:pPr>
        <w:pStyle w:val="ListBullet"/>
      </w:pPr>
      <w:r>
        <w:t>Lower risk (guarded): session delete via _safe_session_path; synthesis delete_report with filename/path checks.</w:t>
      </w:r>
    </w:p>
    <w:p>
      <w:pPr>
        <w:pStyle w:val="ListBullet"/>
      </w:pPr>
      <w:r>
        <w:t>No exec/eval/subprocess/SQL execute sinks identified in that loaded scope.</w:t>
      </w:r>
    </w:p>
    <w:p>
      <w:pPr>
        <w:pStyle w:val="Heading1"/>
      </w:pPr>
      <w:r>
        <w:t>6. Entry-to-sink traces (backend/ Agentic RAG)</w:t>
      </w:r>
    </w:p>
    <w:p>
      <w:pPr>
        <w:pStyle w:val="Heading2"/>
      </w:pPr>
      <w:r>
        <w:t>6a. File upload → CSV → Pinecone</w:t>
      </w:r>
    </w:p>
    <w:p>
      <w:pPr>
        <w:pStyle w:val="ListBullet"/>
      </w:pPr>
      <w:r>
        <w:t>POST /files/add_file → temp file → CSV branch → CSVProcessor.process_csv_to_documents.</w:t>
      </w:r>
    </w:p>
    <w:p>
      <w:pPr>
        <w:pStyle w:val="ListBullet"/>
      </w:pPr>
      <w:r>
        <w:t>EmbeddingsService.process_documents → VectorDBService.upsert_documents → Pinecone upsert; metadata includes full chunk text.</w:t>
      </w:r>
    </w:p>
    <w:p>
      <w:pPr>
        <w:pStyle w:val="ListBullet"/>
      </w:pPr>
      <w:r>
        <w:t>Risks: no app-layer auth in snippets; large CSV DoS; PHI in cell text if anonymization misses.</w:t>
      </w:r>
    </w:p>
    <w:p>
      <w:pPr>
        <w:pStyle w:val="Heading2"/>
      </w:pPr>
      <w:r>
        <w:t>6b. User query → vector DB → LLM</w:t>
      </w:r>
    </w:p>
    <w:p>
      <w:pPr>
        <w:pStyle w:val="ListBullet"/>
      </w:pPr>
      <w:r>
        <w:t>POST /chat/ → RAGService.process_query → retrieve: generate_embedding(query) → search_similar → generate: LLMService.generate_response.</w:t>
      </w:r>
    </w:p>
    <w:p>
      <w:pPr>
        <w:pStyle w:val="ListBullet"/>
      </w:pPr>
      <w:r>
        <w:t>Prompt combines retrieved context + user query; sent to OpenAI chat.completions.</w:t>
      </w:r>
    </w:p>
    <w:p>
      <w:pPr>
        <w:pStyle w:val="ListBullet"/>
      </w:pPr>
      <w:r>
        <w:t>Risks: prompt injection (query + retrieved text); PHI in prompts; ChatResponse may return context_documents with full retrieved text.</w:t>
      </w:r>
    </w:p>
    <w:p>
      <w:pPr>
        <w:pStyle w:val="Heading1"/>
      </w:pPr>
      <w:r>
        <w:t>7. Medical / HIPAA — gap summary</w:t>
      </w:r>
    </w:p>
    <w:p>
      <w:pPr>
        <w:pStyle w:val="ListBullet"/>
      </w:pPr>
      <w:r>
        <w:t>MedicalRAGConfig.HIPAA_COMPLIANCE flags (audit, access, encryption, auth) are metadata only — not enforced in FastAPI routes.</w:t>
      </w:r>
    </w:p>
    <w:p>
      <w:pPr>
        <w:pStyle w:val="ListBullet"/>
      </w:pPr>
      <w:r>
        <w:t>LLMService uses generic assistant system prompt; MedicalRAGConfig medical prompts not wired to live chat.</w:t>
      </w:r>
    </w:p>
    <w:p>
      <w:pPr>
        <w:pStyle w:val="ListBullet"/>
      </w:pPr>
      <w:r>
        <w:t>CSV anonymize_data(): column-name heuristics + weak name regex; misses PHI in free-text columns.</w:t>
      </w:r>
    </w:p>
    <w:p>
      <w:pPr>
        <w:pStyle w:val="ListBullet"/>
      </w:pPr>
      <w:r>
        <w:t>PDF ingestion: no PHI scrubbing — raw extract → chunk → embed (high risk for clinical PDFs).</w:t>
      </w:r>
    </w:p>
    <w:p>
      <w:pPr>
        <w:pStyle w:val="ListBullet"/>
      </w:pPr>
      <w:r>
        <w:t>Logging may log query prefixes — PHI if users paste clinical text.</w:t>
      </w:r>
    </w:p>
    <w:p>
      <w:pPr>
        <w:pStyle w:val="ListBullet"/>
      </w:pPr>
      <w:r>
        <w:t>Subprocessors: full text to OpenAI embeddings/chat; full text in Pinecone metadata — requires BAA/risk analysis for ePHI use cases.</w:t>
      </w:r>
    </w:p>
    <w:p>
      <w:pPr>
        <w:pStyle w:val="Heading1"/>
      </w:pPr>
      <w:r>
        <w:t>8. Comparison: audit methodologies</w:t>
      </w:r>
    </w:p>
    <w:p>
      <w:pPr>
        <w:spacing w:after="120"/>
      </w:pPr>
      <w:r>
        <w:t>What each approach found vs missed (abbreviated):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Strong at</w:t>
            </w:r>
          </w:p>
        </w:tc>
        <w:tc>
          <w:tcPr>
            <w:tcW w:type="dxa" w:w="2160"/>
          </w:tcPr>
          <w:p>
            <w:r>
              <w:t>Weak / missed</w:t>
            </w:r>
          </w:p>
        </w:tc>
        <w:tc>
          <w:tcPr>
            <w:tcW w:type="dxa" w:w="2160"/>
          </w:tcPr>
          <w:p>
            <w:r>
              <w:t>Medical-domain note</w:t>
            </w:r>
          </w:p>
        </w:tc>
      </w:tr>
      <w:tr>
        <w:tc>
          <w:tcPr>
            <w:tcW w:type="dxa" w:w="2160"/>
          </w:tcPr>
          <w:p>
            <w:r>
              <w:t>Semantic graph audit</w:t>
            </w:r>
          </w:p>
        </w:tc>
        <w:tc>
          <w:tcPr>
            <w:tcW w:type="dxa" w:w="2160"/>
          </w:tcPr>
          <w:p>
            <w:r>
              <w:t>In-file flows to sinks in loaded code</w:t>
            </w:r>
          </w:p>
        </w:tc>
        <w:tc>
          <w:tcPr>
            <w:tcW w:type="dxa" w:w="2160"/>
          </w:tcPr>
          <w:p>
            <w:r>
              <w:t>Unloaded paths; policy/HIPAA</w:t>
            </w:r>
          </w:p>
        </w:tc>
        <w:tc>
          <w:tcPr>
            <w:tcW w:type="dxa" w:w="2160"/>
          </w:tcPr>
          <w:p>
            <w:r>
              <w:t>Did not validate PHI via OpenAI/Pinecone</w:t>
            </w:r>
          </w:p>
        </w:tc>
      </w:tr>
      <w:tr>
        <w:tc>
          <w:tcPr>
            <w:tcW w:type="dxa" w:w="2160"/>
          </w:tcPr>
          <w:p>
            <w:r>
              <w:t>assess / CI codebase intel</w:t>
            </w:r>
          </w:p>
        </w:tc>
        <w:tc>
          <w:tcPr>
            <w:tcW w:type="dxa" w:w="2160"/>
          </w:tcPr>
          <w:p>
            <w:r>
              <w:t>Repo metrics when indexed</w:t>
            </w:r>
          </w:p>
        </w:tc>
        <w:tc>
          <w:tcPr>
            <w:tcW w:type="dxa" w:w="2160"/>
          </w:tcPr>
          <w:p>
            <w:r>
              <w:t>Tool gaps; unfused security run</w:t>
            </w:r>
          </w:p>
        </w:tc>
        <w:tc>
          <w:tcPr>
            <w:tcW w:type="dxa" w:w="2160"/>
          </w:tcPr>
          <w:p>
            <w:r>
              <w:t>Clean ≠ HIPAA-safe for clinical data</w:t>
            </w:r>
          </w:p>
        </w:tc>
      </w:tr>
      <w:tr>
        <w:tc>
          <w:tcPr>
            <w:tcW w:type="dxa" w:w="2160"/>
          </w:tcPr>
          <w:p>
            <w:r>
              <w:t>Manual E2E trace</w:t>
            </w:r>
          </w:p>
        </w:tc>
        <w:tc>
          <w:tcPr>
            <w:tcW w:type="dxa" w:w="2160"/>
          </w:tcPr>
          <w:p>
            <w:r>
              <w:t>Actual RAG data flow in backend/</w:t>
            </w:r>
          </w:p>
        </w:tc>
        <w:tc>
          <w:tcPr>
            <w:tcW w:type="dxa" w:w="2160"/>
          </w:tcPr>
          <w:p>
            <w:r>
              <w:t>No exploit proof</w:t>
            </w:r>
          </w:p>
        </w:tc>
        <w:tc>
          <w:tcPr>
            <w:tcW w:type="dxa" w:w="2160"/>
          </w:tcPr>
          <w:p>
            <w:r>
              <w:t>context_documents exposes retrieved text</w:t>
            </w:r>
          </w:p>
        </w:tc>
      </w:tr>
      <w:tr>
        <w:tc>
          <w:tcPr>
            <w:tcW w:type="dxa" w:w="2160"/>
          </w:tcPr>
          <w:p>
            <w:r>
              <w:t>Medical code review</w:t>
            </w:r>
          </w:p>
        </w:tc>
        <w:tc>
          <w:tcPr>
            <w:tcW w:type="dxa" w:w="2160"/>
          </w:tcPr>
          <w:p>
            <w:r>
              <w:t>Config vs code; PDF/CSV PHI</w:t>
            </w:r>
          </w:p>
        </w:tc>
        <w:tc>
          <w:tcPr>
            <w:tcW w:type="dxa" w:w="2160"/>
          </w:tcPr>
          <w:p>
            <w:r>
              <w:t>Legal BAAs, workforce</w:t>
            </w:r>
          </w:p>
        </w:tc>
        <w:tc>
          <w:tcPr>
            <w:tcW w:type="dxa" w:w="2160"/>
          </w:tcPr>
          <w:p>
            <w:r>
              <w:t>PDF raw text → embeddings is key clinical risk</w:t>
            </w:r>
          </w:p>
        </w:tc>
      </w:tr>
    </w:tbl>
    <w:p>
      <w:pPr>
        <w:spacing w:after="120"/>
      </w:pPr>
    </w:p>
    <w:p>
      <w:pPr>
        <w:spacing w:after="120"/>
      </w:pPr>
      <w:r>
        <w:t>Ship recommendation: Do not rely on graph clean or assess clean alone for PHI/medical deployment. Require manual trace + medical gaps addressed, plus auth, minimum-necessary API, de-ID strategy, and subprocessor alignment.</w:t>
      </w:r>
    </w:p>
    <w:p>
      <w:pPr>
        <w:pStyle w:val="Heading1"/>
      </w:pPr>
      <w:r>
        <w:t>9. Files referenced</w:t>
      </w:r>
    </w:p>
    <w:p>
      <w:pPr>
        <w:pStyle w:val="ListBullet"/>
      </w:pPr>
      <w:r>
        <w:t>backend/api/routes_files.py, routes_chat.py</w:t>
      </w:r>
    </w:p>
    <w:p>
      <w:pPr>
        <w:pStyle w:val="ListBullet"/>
      </w:pPr>
      <w:r>
        <w:t>backend/services/rag_service.py, llm_service.py, vectordb_service.py, csv_processor.py, data_injestion_service.py</w:t>
      </w:r>
    </w:p>
    <w:p>
      <w:pPr>
        <w:pStyle w:val="ListBullet"/>
      </w:pPr>
      <w:r>
        <w:t>backend/medical_config.py</w:t>
      </w:r>
    </w:p>
    <w:p>
      <w:pPr>
        <w:pStyle w:val="ListBullet"/>
      </w:pPr>
      <w:r>
        <w:t>~/.cursor/mcp.json (MCP servers)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